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33F" w:rsidRPr="000D5162" w:rsidRDefault="00D9033F" w:rsidP="000D5162">
      <w:pPr>
        <w:shd w:val="clear" w:color="auto" w:fill="FFFFFF"/>
        <w:spacing w:before="100" w:beforeAutospacing="1" w:after="100" w:afterAutospacing="1" w:line="240" w:lineRule="auto"/>
        <w:jc w:val="center"/>
        <w:outlineLvl w:val="0"/>
        <w:rPr>
          <w:rFonts w:ascii="Times New Roman" w:eastAsia="Times New Roman" w:hAnsi="Times New Roman" w:cs="Times New Roman"/>
          <w:caps/>
          <w:color w:val="F97300"/>
          <w:kern w:val="36"/>
          <w:sz w:val="48"/>
          <w:szCs w:val="48"/>
          <w:lang w:eastAsia="es-ES"/>
        </w:rPr>
      </w:pPr>
      <w:r w:rsidRPr="000D5162">
        <w:rPr>
          <w:rFonts w:ascii="Times New Roman" w:eastAsia="Times New Roman" w:hAnsi="Times New Roman" w:cs="Times New Roman"/>
          <w:caps/>
          <w:color w:val="F97300"/>
          <w:kern w:val="36"/>
          <w:sz w:val="48"/>
          <w:szCs w:val="48"/>
          <w:lang w:eastAsia="es-ES"/>
        </w:rPr>
        <w:t>Esta semana acaba el plazo para solicitar aplazamientos y moratoria por COVID-19 de ABRIL en TGSS.</w:t>
      </w:r>
    </w:p>
    <w:p w:rsidR="00D9033F" w:rsidRPr="00D9033F" w:rsidRDefault="00D9033F" w:rsidP="000D5162">
      <w:pPr>
        <w:spacing w:after="0" w:line="240" w:lineRule="auto"/>
        <w:jc w:val="center"/>
        <w:rPr>
          <w:rFonts w:ascii="Times New Roman" w:eastAsia="Times New Roman" w:hAnsi="Times New Roman" w:cs="Times New Roman"/>
          <w:sz w:val="24"/>
          <w:szCs w:val="24"/>
          <w:lang w:eastAsia="es-ES"/>
        </w:rPr>
      </w:pPr>
      <w:r w:rsidRPr="00D9033F">
        <w:rPr>
          <w:rFonts w:ascii="Times New Roman" w:eastAsia="Times New Roman" w:hAnsi="Times New Roman" w:cs="Times New Roman"/>
          <w:noProof/>
          <w:sz w:val="24"/>
          <w:szCs w:val="24"/>
          <w:lang w:eastAsia="es-ES"/>
        </w:rPr>
        <w:drawing>
          <wp:inline distT="0" distB="0" distL="0" distR="0" wp14:anchorId="06E66C8D" wp14:editId="6BE78595">
            <wp:extent cx="3048000" cy="2000250"/>
            <wp:effectExtent l="0" t="0" r="0" b="0"/>
            <wp:docPr id="1" name="Imagen 1" descr="img_ct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ct_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000250"/>
                    </a:xfrm>
                    <a:prstGeom prst="rect">
                      <a:avLst/>
                    </a:prstGeom>
                    <a:noFill/>
                    <a:ln>
                      <a:noFill/>
                    </a:ln>
                  </pic:spPr>
                </pic:pic>
              </a:graphicData>
            </a:graphic>
          </wp:inline>
        </w:drawing>
      </w:r>
    </w:p>
    <w:p w:rsidR="00D9033F" w:rsidRPr="000D5162" w:rsidRDefault="00D9033F" w:rsidP="000D5162">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0D5162">
        <w:rPr>
          <w:rFonts w:ascii="Comic Sans MS" w:eastAsia="Times New Roman" w:hAnsi="Comic Sans MS" w:cs="Arial"/>
          <w:color w:val="6C6C6C"/>
          <w:sz w:val="28"/>
          <w:szCs w:val="28"/>
          <w:lang w:eastAsia="es-ES"/>
        </w:rPr>
        <w:t xml:space="preserve">No podemos olvidarlo pues puede "aliviar nuestra situación empresarial" y disponemos de 5 días para solicitar el aplazamiento o la moratoria del pago de las cotizaciones a la Seguridad Social del mes de </w:t>
      </w:r>
      <w:r w:rsidR="000D5162" w:rsidRPr="000D5162">
        <w:rPr>
          <w:rFonts w:ascii="Comic Sans MS" w:eastAsia="Times New Roman" w:hAnsi="Comic Sans MS" w:cs="Arial"/>
          <w:color w:val="6C6C6C"/>
          <w:sz w:val="28"/>
          <w:szCs w:val="28"/>
          <w:lang w:eastAsia="es-ES"/>
        </w:rPr>
        <w:t>abril</w:t>
      </w:r>
      <w:r w:rsidRPr="000D5162">
        <w:rPr>
          <w:rFonts w:ascii="Comic Sans MS" w:eastAsia="Times New Roman" w:hAnsi="Comic Sans MS" w:cs="Arial"/>
          <w:color w:val="6C6C6C"/>
          <w:sz w:val="28"/>
          <w:szCs w:val="28"/>
          <w:lang w:eastAsia="es-ES"/>
        </w:rPr>
        <w:t> consecuencia del COVID-19; recuerde que uno de los requisitos es que la solicitud sea tramitada entre los días 1 al 10 del mes de abono de dicha cuota, tanto empresas como para autónomos.</w:t>
      </w:r>
    </w:p>
    <w:p w:rsidR="00D9033F" w:rsidRPr="000D5162" w:rsidRDefault="00D9033F" w:rsidP="000D5162">
      <w:p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jc w:val="both"/>
        <w:outlineLvl w:val="1"/>
        <w:rPr>
          <w:rFonts w:ascii="Comic Sans MS" w:eastAsia="Times New Roman" w:hAnsi="Comic Sans MS" w:cs="Times New Roman"/>
          <w:color w:val="FFFFFF"/>
          <w:sz w:val="28"/>
          <w:szCs w:val="28"/>
          <w:lang w:eastAsia="es-ES"/>
        </w:rPr>
      </w:pPr>
      <w:r w:rsidRPr="000D5162">
        <w:rPr>
          <w:rFonts w:ascii="Comic Sans MS" w:eastAsia="Times New Roman" w:hAnsi="Comic Sans MS" w:cs="Times New Roman"/>
          <w:color w:val="FFFFFF"/>
          <w:sz w:val="28"/>
          <w:szCs w:val="28"/>
          <w:lang w:eastAsia="es-ES"/>
        </w:rPr>
        <w:t>Recuerde que:</w:t>
      </w:r>
    </w:p>
    <w:p w:rsidR="00D9033F" w:rsidRPr="000D5162" w:rsidRDefault="00D9033F" w:rsidP="000D5162">
      <w:pPr>
        <w:shd w:val="clear" w:color="auto" w:fill="FDF4EB"/>
        <w:spacing w:after="0" w:line="240" w:lineRule="auto"/>
        <w:jc w:val="both"/>
        <w:rPr>
          <w:rFonts w:ascii="Comic Sans MS" w:eastAsia="Times New Roman" w:hAnsi="Comic Sans MS" w:cs="Arial"/>
          <w:i/>
          <w:iCs/>
          <w:color w:val="6C6C6C"/>
          <w:sz w:val="28"/>
          <w:szCs w:val="28"/>
          <w:lang w:eastAsia="es-ES"/>
        </w:rPr>
      </w:pPr>
      <w:r w:rsidRPr="000D5162">
        <w:rPr>
          <w:rFonts w:ascii="Comic Sans MS" w:eastAsia="Times New Roman" w:hAnsi="Comic Sans MS" w:cs="Arial"/>
          <w:i/>
          <w:iCs/>
          <w:color w:val="6C6C6C"/>
          <w:sz w:val="28"/>
          <w:szCs w:val="28"/>
          <w:lang w:eastAsia="es-ES"/>
        </w:rPr>
        <w:t>Aplazamiento y Moratoria son incompatibles.</w:t>
      </w:r>
    </w:p>
    <w:p w:rsidR="00D9033F" w:rsidRPr="000D5162" w:rsidRDefault="00D9033F" w:rsidP="000D5162">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0D5162">
        <w:rPr>
          <w:rFonts w:ascii="Comic Sans MS" w:eastAsia="Times New Roman" w:hAnsi="Comic Sans MS" w:cs="Arial"/>
          <w:color w:val="6C6C6C"/>
          <w:sz w:val="28"/>
          <w:szCs w:val="28"/>
          <w:lang w:eastAsia="es-ES"/>
        </w:rPr>
        <w:t xml:space="preserve">Podríamos decir más, en el caso que usted desee solicitar la moratoria (diferimiento del pago de las cotizaciones) durante seis meses, la solicitud solamente podrá realizarse mediante las opciones disponibles en el Sistema RED y estos servicios estarán operativos solo entre los días 1 y 10 del mes que corresponda (a efectos del presente comentario durante los días 1 al 10 de mayo para diferir el pago de las cuotas del mes de </w:t>
      </w:r>
      <w:r w:rsidR="000D5162" w:rsidRPr="000D5162">
        <w:rPr>
          <w:rFonts w:ascii="Comic Sans MS" w:eastAsia="Times New Roman" w:hAnsi="Comic Sans MS" w:cs="Arial"/>
          <w:color w:val="6C6C6C"/>
          <w:sz w:val="28"/>
          <w:szCs w:val="28"/>
          <w:lang w:eastAsia="es-ES"/>
        </w:rPr>
        <w:t>abril</w:t>
      </w:r>
      <w:r w:rsidRPr="000D5162">
        <w:rPr>
          <w:rFonts w:ascii="Comic Sans MS" w:eastAsia="Times New Roman" w:hAnsi="Comic Sans MS" w:cs="Arial"/>
          <w:color w:val="6C6C6C"/>
          <w:sz w:val="28"/>
          <w:szCs w:val="28"/>
          <w:lang w:eastAsia="es-ES"/>
        </w:rPr>
        <w:t>).</w:t>
      </w:r>
    </w:p>
    <w:p w:rsidR="00D9033F" w:rsidRPr="000D5162" w:rsidRDefault="00D9033F" w:rsidP="000D516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D5162">
        <w:rPr>
          <w:rFonts w:ascii="Comic Sans MS" w:eastAsia="Times New Roman" w:hAnsi="Comic Sans MS" w:cs="Arial"/>
          <w:color w:val="6C6C6C"/>
          <w:sz w:val="28"/>
          <w:szCs w:val="28"/>
          <w:lang w:eastAsia="es-ES"/>
        </w:rPr>
        <w:t>Han sido muchos los comentarios que hemos elaborado a este respecto para mantener informados a nuestros lectores por lo que éste básicamente es un recordatorio al respecto de un plazo que termina en la semana en curso. Recordemos las principales cuestiones a tener en cuenta respecto de los aplazamientos y moratoria referidos:</w:t>
      </w:r>
    </w:p>
    <w:tbl>
      <w:tblPr>
        <w:tblW w:w="0" w:type="auto"/>
        <w:tblBorders>
          <w:top w:val="single" w:sz="6" w:space="0" w:color="F2DEC4"/>
          <w:left w:val="single" w:sz="6" w:space="0" w:color="F2DEC4"/>
          <w:bottom w:val="single" w:sz="6" w:space="0" w:color="F2DEC4"/>
          <w:right w:val="single" w:sz="6" w:space="0" w:color="F2DEC4"/>
        </w:tblBorders>
        <w:shd w:val="clear" w:color="auto" w:fill="FFFFFF"/>
        <w:tblCellMar>
          <w:left w:w="0" w:type="dxa"/>
          <w:right w:w="0" w:type="dxa"/>
        </w:tblCellMar>
        <w:tblLook w:val="04A0" w:firstRow="1" w:lastRow="0" w:firstColumn="1" w:lastColumn="0" w:noHBand="0" w:noVBand="1"/>
      </w:tblPr>
      <w:tblGrid>
        <w:gridCol w:w="1220"/>
        <w:gridCol w:w="3634"/>
        <w:gridCol w:w="3634"/>
      </w:tblGrid>
      <w:tr w:rsidR="00D9033F" w:rsidRPr="000D5162" w:rsidTr="00D9033F">
        <w:tc>
          <w:tcPr>
            <w:tcW w:w="1830" w:type="dxa"/>
            <w:tcBorders>
              <w:top w:val="single" w:sz="6" w:space="0" w:color="F2DEC4"/>
              <w:left w:val="single" w:sz="6" w:space="0" w:color="F2DEC4"/>
              <w:bottom w:val="single" w:sz="6" w:space="0" w:color="FFFFFF"/>
              <w:right w:val="single" w:sz="6" w:space="0" w:color="FFFFFF"/>
            </w:tcBorders>
            <w:shd w:val="clear" w:color="auto" w:fill="F2DEC4"/>
            <w:vAlign w:val="center"/>
            <w:hideMark/>
          </w:tcPr>
          <w:p w:rsidR="00D9033F" w:rsidRPr="000D5162" w:rsidRDefault="00D9033F" w:rsidP="000D5162">
            <w:pPr>
              <w:spacing w:after="0" w:line="240" w:lineRule="auto"/>
              <w:jc w:val="both"/>
              <w:rPr>
                <w:rFonts w:ascii="Comic Sans MS" w:eastAsia="Times New Roman" w:hAnsi="Comic Sans MS" w:cs="Times New Roman"/>
                <w:color w:val="423222"/>
                <w:sz w:val="28"/>
                <w:szCs w:val="28"/>
                <w:lang w:eastAsia="es-ES"/>
              </w:rPr>
            </w:pPr>
            <w:r w:rsidRPr="000D5162">
              <w:rPr>
                <w:rFonts w:ascii="Comic Sans MS" w:eastAsia="Times New Roman" w:hAnsi="Comic Sans MS" w:cs="Times New Roman"/>
                <w:color w:val="423222"/>
                <w:sz w:val="28"/>
                <w:szCs w:val="28"/>
                <w:lang w:eastAsia="es-ES"/>
              </w:rPr>
              <w:t>COVID-19</w:t>
            </w:r>
          </w:p>
        </w:tc>
        <w:tc>
          <w:tcPr>
            <w:tcW w:w="6270" w:type="dxa"/>
            <w:tcBorders>
              <w:top w:val="single" w:sz="6" w:space="0" w:color="F2DEC4"/>
              <w:left w:val="single" w:sz="6" w:space="0" w:color="FFFFFF"/>
              <w:bottom w:val="single" w:sz="6" w:space="0" w:color="FFFFFF"/>
              <w:right w:val="single" w:sz="6" w:space="0" w:color="FFFFFF"/>
            </w:tcBorders>
            <w:shd w:val="clear" w:color="auto" w:fill="F2DEC4"/>
            <w:vAlign w:val="center"/>
            <w:hideMark/>
          </w:tcPr>
          <w:p w:rsidR="00D9033F" w:rsidRPr="000D5162" w:rsidRDefault="00D9033F" w:rsidP="000D5162">
            <w:pPr>
              <w:spacing w:after="0" w:line="240" w:lineRule="auto"/>
              <w:jc w:val="both"/>
              <w:rPr>
                <w:rFonts w:ascii="Comic Sans MS" w:eastAsia="Times New Roman" w:hAnsi="Comic Sans MS" w:cs="Times New Roman"/>
                <w:color w:val="423222"/>
                <w:sz w:val="28"/>
                <w:szCs w:val="28"/>
                <w:lang w:eastAsia="es-ES"/>
              </w:rPr>
            </w:pPr>
            <w:r w:rsidRPr="000D5162">
              <w:rPr>
                <w:rFonts w:ascii="Comic Sans MS" w:eastAsia="Times New Roman" w:hAnsi="Comic Sans MS" w:cs="Times New Roman"/>
                <w:b/>
                <w:bCs/>
                <w:color w:val="0084C4"/>
                <w:sz w:val="28"/>
                <w:szCs w:val="28"/>
                <w:u w:val="single"/>
                <w:lang w:eastAsia="es-ES"/>
              </w:rPr>
              <w:t>APLAZAMIENTO</w:t>
            </w:r>
          </w:p>
        </w:tc>
        <w:tc>
          <w:tcPr>
            <w:tcW w:w="6285" w:type="dxa"/>
            <w:tcBorders>
              <w:top w:val="single" w:sz="6" w:space="0" w:color="F2DEC4"/>
              <w:left w:val="single" w:sz="6" w:space="0" w:color="FFFFFF"/>
              <w:bottom w:val="single" w:sz="6" w:space="0" w:color="FFFFFF"/>
              <w:right w:val="single" w:sz="6" w:space="0" w:color="F2DEC4"/>
            </w:tcBorders>
            <w:shd w:val="clear" w:color="auto" w:fill="F2DEC4"/>
            <w:vAlign w:val="center"/>
            <w:hideMark/>
          </w:tcPr>
          <w:p w:rsidR="00D9033F" w:rsidRPr="000D5162" w:rsidRDefault="00D9033F" w:rsidP="000D5162">
            <w:pPr>
              <w:spacing w:after="0" w:line="240" w:lineRule="auto"/>
              <w:jc w:val="both"/>
              <w:rPr>
                <w:rFonts w:ascii="Comic Sans MS" w:eastAsia="Times New Roman" w:hAnsi="Comic Sans MS" w:cs="Times New Roman"/>
                <w:color w:val="423222"/>
                <w:sz w:val="28"/>
                <w:szCs w:val="28"/>
                <w:lang w:eastAsia="es-ES"/>
              </w:rPr>
            </w:pPr>
            <w:r w:rsidRPr="000D5162">
              <w:rPr>
                <w:rFonts w:ascii="Comic Sans MS" w:eastAsia="Times New Roman" w:hAnsi="Comic Sans MS" w:cs="Times New Roman"/>
                <w:color w:val="423222"/>
                <w:sz w:val="28"/>
                <w:szCs w:val="28"/>
                <w:lang w:eastAsia="es-ES"/>
              </w:rPr>
              <w:t>MORATORIA</w:t>
            </w:r>
          </w:p>
        </w:tc>
      </w:tr>
      <w:tr w:rsidR="00D9033F" w:rsidRPr="000D5162" w:rsidTr="00D9033F">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D9033F" w:rsidRPr="000D5162" w:rsidRDefault="00D9033F" w:rsidP="000D5162">
            <w:pPr>
              <w:spacing w:after="0" w:line="240" w:lineRule="auto"/>
              <w:jc w:val="both"/>
              <w:rPr>
                <w:rFonts w:ascii="Comic Sans MS" w:eastAsia="Times New Roman" w:hAnsi="Comic Sans MS" w:cs="Arial"/>
                <w:color w:val="6C6C6C"/>
                <w:sz w:val="28"/>
                <w:szCs w:val="28"/>
                <w:lang w:eastAsia="es-ES"/>
              </w:rPr>
            </w:pPr>
            <w:r w:rsidRPr="000D5162">
              <w:rPr>
                <w:rFonts w:ascii="Comic Sans MS" w:eastAsia="Times New Roman" w:hAnsi="Comic Sans MS" w:cs="Arial"/>
                <w:color w:val="6C6C6C"/>
                <w:sz w:val="28"/>
                <w:szCs w:val="28"/>
                <w:lang w:eastAsia="es-ES"/>
              </w:rPr>
              <w:t>¿Quiénes pueden solicitarlo/a?</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D9033F" w:rsidRPr="000D5162" w:rsidRDefault="00D9033F" w:rsidP="000D5162">
            <w:pPr>
              <w:spacing w:beforeAutospacing="1" w:after="0" w:afterAutospacing="1" w:line="240" w:lineRule="auto"/>
              <w:jc w:val="both"/>
              <w:rPr>
                <w:rFonts w:ascii="Comic Sans MS" w:eastAsia="Times New Roman" w:hAnsi="Comic Sans MS" w:cs="Arial"/>
                <w:color w:val="6C6C6C"/>
                <w:sz w:val="28"/>
                <w:szCs w:val="28"/>
                <w:lang w:eastAsia="es-ES"/>
              </w:rPr>
            </w:pPr>
            <w:r w:rsidRPr="000D5162">
              <w:rPr>
                <w:rFonts w:ascii="Comic Sans MS" w:eastAsia="Times New Roman" w:hAnsi="Comic Sans MS" w:cs="Arial"/>
                <w:color w:val="6C6C6C"/>
                <w:sz w:val="28"/>
                <w:szCs w:val="28"/>
                <w:lang w:eastAsia="es-ES"/>
              </w:rPr>
              <w:t xml:space="preserve">Todas aquellas que no se encuentren suspendidas con ocasión del Estado de Alarma </w:t>
            </w:r>
            <w:r w:rsidR="000D5162" w:rsidRPr="000D5162">
              <w:rPr>
                <w:rFonts w:ascii="Comic Sans MS" w:eastAsia="Times New Roman" w:hAnsi="Comic Sans MS" w:cs="Arial"/>
                <w:color w:val="6C6C6C"/>
                <w:sz w:val="28"/>
                <w:szCs w:val="28"/>
                <w:lang w:eastAsia="es-ES"/>
              </w:rPr>
              <w:t>y,</w:t>
            </w:r>
            <w:r w:rsidRPr="000D5162">
              <w:rPr>
                <w:rFonts w:ascii="Comic Sans MS" w:eastAsia="Times New Roman" w:hAnsi="Comic Sans MS" w:cs="Arial"/>
                <w:color w:val="6C6C6C"/>
                <w:sz w:val="28"/>
                <w:szCs w:val="28"/>
                <w:lang w:eastAsia="es-ES"/>
              </w:rPr>
              <w:t xml:space="preserve"> además:</w:t>
            </w:r>
          </w:p>
          <w:p w:rsidR="00D9033F" w:rsidRPr="000D5162" w:rsidRDefault="00D9033F" w:rsidP="000D5162">
            <w:pPr>
              <w:numPr>
                <w:ilvl w:val="0"/>
                <w:numId w:val="1"/>
              </w:numPr>
              <w:spacing w:after="0" w:line="240" w:lineRule="auto"/>
              <w:jc w:val="both"/>
              <w:rPr>
                <w:rFonts w:ascii="Comic Sans MS" w:eastAsia="Times New Roman" w:hAnsi="Comic Sans MS" w:cs="Arial"/>
                <w:color w:val="6C6C6C"/>
                <w:sz w:val="28"/>
                <w:szCs w:val="28"/>
                <w:lang w:eastAsia="es-ES"/>
              </w:rPr>
            </w:pPr>
            <w:r w:rsidRPr="000D5162">
              <w:rPr>
                <w:rFonts w:ascii="Comic Sans MS" w:eastAsia="Times New Roman" w:hAnsi="Comic Sans MS" w:cs="Arial"/>
                <w:color w:val="6C6C6C"/>
                <w:sz w:val="28"/>
                <w:szCs w:val="28"/>
                <w:lang w:eastAsia="es-ES"/>
              </w:rPr>
              <w:t xml:space="preserve">No presentar deuda con </w:t>
            </w:r>
            <w:r w:rsidR="000D5162" w:rsidRPr="000D5162">
              <w:rPr>
                <w:rFonts w:ascii="Comic Sans MS" w:eastAsia="Times New Roman" w:hAnsi="Comic Sans MS" w:cs="Arial"/>
                <w:color w:val="6C6C6C"/>
                <w:sz w:val="28"/>
                <w:szCs w:val="28"/>
                <w:lang w:eastAsia="es-ES"/>
              </w:rPr>
              <w:t>anterioridad</w:t>
            </w:r>
            <w:r w:rsidRPr="000D5162">
              <w:rPr>
                <w:rFonts w:ascii="Comic Sans MS" w:eastAsia="Times New Roman" w:hAnsi="Comic Sans MS" w:cs="Arial"/>
                <w:color w:val="6C6C6C"/>
                <w:sz w:val="28"/>
                <w:szCs w:val="28"/>
                <w:lang w:eastAsia="es-ES"/>
              </w:rPr>
              <w:t xml:space="preserve"> a COVID-19.</w:t>
            </w:r>
          </w:p>
          <w:p w:rsidR="00D9033F" w:rsidRPr="000D5162" w:rsidRDefault="00D9033F" w:rsidP="000D5162">
            <w:pPr>
              <w:numPr>
                <w:ilvl w:val="0"/>
                <w:numId w:val="1"/>
              </w:numPr>
              <w:spacing w:after="0" w:line="240" w:lineRule="auto"/>
              <w:jc w:val="both"/>
              <w:rPr>
                <w:rFonts w:ascii="Comic Sans MS" w:eastAsia="Times New Roman" w:hAnsi="Comic Sans MS" w:cs="Arial"/>
                <w:color w:val="6C6C6C"/>
                <w:sz w:val="28"/>
                <w:szCs w:val="28"/>
                <w:lang w:eastAsia="es-ES"/>
              </w:rPr>
            </w:pPr>
            <w:r w:rsidRPr="000D5162">
              <w:rPr>
                <w:rFonts w:ascii="Comic Sans MS" w:eastAsia="Times New Roman" w:hAnsi="Comic Sans MS" w:cs="Arial"/>
                <w:color w:val="6C6C6C"/>
                <w:sz w:val="28"/>
                <w:szCs w:val="28"/>
                <w:lang w:eastAsia="es-ES"/>
              </w:rPr>
              <w:t>No tengan aplazamientos anteriores vigentes.</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D9033F" w:rsidRPr="000D5162" w:rsidRDefault="00D9033F" w:rsidP="000D5162">
            <w:pPr>
              <w:spacing w:beforeAutospacing="1" w:after="0" w:afterAutospacing="1" w:line="240" w:lineRule="auto"/>
              <w:jc w:val="both"/>
              <w:rPr>
                <w:rFonts w:ascii="Comic Sans MS" w:eastAsia="Times New Roman" w:hAnsi="Comic Sans MS" w:cs="Arial"/>
                <w:color w:val="6C6C6C"/>
                <w:sz w:val="28"/>
                <w:szCs w:val="28"/>
                <w:lang w:eastAsia="es-ES"/>
              </w:rPr>
            </w:pPr>
            <w:r w:rsidRPr="000D5162">
              <w:rPr>
                <w:rFonts w:ascii="Comic Sans MS" w:eastAsia="Times New Roman" w:hAnsi="Comic Sans MS" w:cs="Arial"/>
                <w:color w:val="6C6C6C"/>
                <w:sz w:val="28"/>
                <w:szCs w:val="28"/>
                <w:lang w:eastAsia="es-ES"/>
              </w:rPr>
              <w:t>Todas aquellas que no se encuentren suspendidas con ocasión del Estado de Alarma y </w:t>
            </w:r>
            <w:r w:rsidRPr="000D5162">
              <w:rPr>
                <w:rFonts w:ascii="Comic Sans MS" w:eastAsia="Times New Roman" w:hAnsi="Comic Sans MS" w:cs="Arial"/>
                <w:b/>
                <w:bCs/>
                <w:color w:val="0084C4"/>
                <w:sz w:val="28"/>
                <w:szCs w:val="28"/>
                <w:u w:val="single"/>
                <w:lang w:eastAsia="es-ES"/>
              </w:rPr>
              <w:t>que estén incluidas en determinados códigos de la CNAE</w:t>
            </w:r>
            <w:r w:rsidRPr="000D5162">
              <w:rPr>
                <w:rFonts w:ascii="Comic Sans MS" w:eastAsia="Times New Roman" w:hAnsi="Comic Sans MS" w:cs="Arial"/>
                <w:color w:val="6C6C6C"/>
                <w:sz w:val="28"/>
                <w:szCs w:val="28"/>
                <w:lang w:eastAsia="es-ES"/>
              </w:rPr>
              <w:t> publicadas por </w:t>
            </w:r>
            <w:r w:rsidRPr="000D5162">
              <w:rPr>
                <w:rFonts w:ascii="Comic Sans MS" w:eastAsia="Times New Roman" w:hAnsi="Comic Sans MS" w:cs="Arial"/>
                <w:b/>
                <w:bCs/>
                <w:color w:val="0084C4"/>
                <w:sz w:val="28"/>
                <w:szCs w:val="28"/>
                <w:u w:val="single"/>
                <w:lang w:eastAsia="es-ES"/>
              </w:rPr>
              <w:t>Orden ISM/371/2020</w:t>
            </w:r>
            <w:r w:rsidRPr="000D5162">
              <w:rPr>
                <w:rFonts w:ascii="Comic Sans MS" w:eastAsia="Times New Roman" w:hAnsi="Comic Sans MS" w:cs="Arial"/>
                <w:color w:val="6C6C6C"/>
                <w:sz w:val="28"/>
                <w:szCs w:val="28"/>
                <w:lang w:eastAsia="es-ES"/>
              </w:rPr>
              <w:t xml:space="preserve">, de 24 de abril. </w:t>
            </w:r>
            <w:r w:rsidR="000D5162" w:rsidRPr="000D5162">
              <w:rPr>
                <w:rFonts w:ascii="Comic Sans MS" w:eastAsia="Times New Roman" w:hAnsi="Comic Sans MS" w:cs="Arial"/>
                <w:color w:val="6C6C6C"/>
                <w:sz w:val="28"/>
                <w:szCs w:val="28"/>
                <w:lang w:eastAsia="es-ES"/>
              </w:rPr>
              <w:t>Además,</w:t>
            </w:r>
            <w:r w:rsidRPr="000D5162">
              <w:rPr>
                <w:rFonts w:ascii="Comic Sans MS" w:eastAsia="Times New Roman" w:hAnsi="Comic Sans MS" w:cs="Arial"/>
                <w:color w:val="6C6C6C"/>
                <w:sz w:val="28"/>
                <w:szCs w:val="28"/>
                <w:lang w:eastAsia="es-ES"/>
              </w:rPr>
              <w:t xml:space="preserve"> no será de aplicación a empresas exoneradas de pagar cotizaciones sociales por ERTEs por fuerza mayor de COVID-19</w:t>
            </w:r>
          </w:p>
        </w:tc>
      </w:tr>
      <w:tr w:rsidR="00D9033F" w:rsidRPr="000D5162" w:rsidTr="00D9033F">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D9033F" w:rsidRPr="000D5162" w:rsidRDefault="00D9033F" w:rsidP="000D5162">
            <w:pPr>
              <w:spacing w:after="0" w:line="240" w:lineRule="auto"/>
              <w:jc w:val="both"/>
              <w:rPr>
                <w:rFonts w:ascii="Comic Sans MS" w:eastAsia="Times New Roman" w:hAnsi="Comic Sans MS" w:cs="Arial"/>
                <w:color w:val="6C6C6C"/>
                <w:sz w:val="28"/>
                <w:szCs w:val="28"/>
                <w:lang w:eastAsia="es-ES"/>
              </w:rPr>
            </w:pPr>
            <w:r w:rsidRPr="000D5162">
              <w:rPr>
                <w:rFonts w:ascii="Comic Sans MS" w:eastAsia="Times New Roman" w:hAnsi="Comic Sans MS" w:cs="Arial"/>
                <w:color w:val="6C6C6C"/>
                <w:sz w:val="28"/>
                <w:szCs w:val="28"/>
                <w:lang w:eastAsia="es-ES"/>
              </w:rPr>
              <w:t>¿Dónde presentar la solicitud?</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0D5162" w:rsidRPr="000D5162" w:rsidRDefault="00D9033F" w:rsidP="000D5162">
            <w:pPr>
              <w:spacing w:after="0" w:line="240" w:lineRule="auto"/>
              <w:jc w:val="both"/>
              <w:rPr>
                <w:rFonts w:ascii="Comic Sans MS" w:eastAsia="Times New Roman" w:hAnsi="Comic Sans MS" w:cs="Arial"/>
                <w:b/>
                <w:bCs/>
                <w:color w:val="0084C4"/>
                <w:sz w:val="28"/>
                <w:szCs w:val="28"/>
                <w:u w:val="single"/>
                <w:lang w:eastAsia="es-ES"/>
              </w:rPr>
            </w:pPr>
            <w:r w:rsidRPr="000D5162">
              <w:rPr>
                <w:rFonts w:ascii="Comic Sans MS" w:eastAsia="Times New Roman" w:hAnsi="Comic Sans MS" w:cs="Arial"/>
                <w:color w:val="6C6C6C"/>
                <w:sz w:val="28"/>
                <w:szCs w:val="28"/>
                <w:lang w:eastAsia="es-ES"/>
              </w:rPr>
              <w:t>Únicamente a través del </w:t>
            </w:r>
            <w:hyperlink r:id="rId6" w:tgtFrame="_blank" w:history="1">
              <w:r w:rsidRPr="000D5162">
                <w:rPr>
                  <w:rFonts w:ascii="Comic Sans MS" w:eastAsia="Times New Roman" w:hAnsi="Comic Sans MS" w:cs="Arial"/>
                  <w:b/>
                  <w:bCs/>
                  <w:color w:val="0084C4"/>
                  <w:sz w:val="28"/>
                  <w:szCs w:val="28"/>
                  <w:u w:val="single"/>
                  <w:lang w:eastAsia="es-ES"/>
                </w:rPr>
                <w:t>Registro Electrónico de la Sede Electrónica</w:t>
              </w:r>
            </w:hyperlink>
            <w:r w:rsidRPr="000D5162">
              <w:rPr>
                <w:rFonts w:ascii="Comic Sans MS" w:eastAsia="Times New Roman" w:hAnsi="Comic Sans MS" w:cs="Arial"/>
                <w:color w:val="6C6C6C"/>
                <w:sz w:val="28"/>
                <w:szCs w:val="28"/>
                <w:lang w:eastAsia="es-ES"/>
              </w:rPr>
              <w:t>.</w:t>
            </w:r>
            <w:r w:rsidRPr="000D5162">
              <w:rPr>
                <w:rFonts w:ascii="Comic Sans MS" w:eastAsia="Times New Roman" w:hAnsi="Comic Sans MS" w:cs="Arial"/>
                <w:noProof/>
                <w:color w:val="6C6C6C"/>
                <w:sz w:val="28"/>
                <w:szCs w:val="28"/>
                <w:lang w:eastAsia="es-ES"/>
              </w:rPr>
              <w:drawing>
                <wp:inline distT="0" distB="0" distL="0" distR="0" wp14:anchorId="50DF150B" wp14:editId="161E0E2F">
                  <wp:extent cx="762000" cy="142875"/>
                  <wp:effectExtent l="0" t="0" r="0" b="9525"/>
                  <wp:docPr id="2" name="Imagen 2" descr="S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sidRPr="000D5162">
              <w:rPr>
                <w:rFonts w:ascii="Comic Sans MS" w:eastAsia="Times New Roman" w:hAnsi="Comic Sans MS" w:cs="Arial"/>
                <w:color w:val="6C6C6C"/>
                <w:sz w:val="28"/>
                <w:szCs w:val="28"/>
                <w:lang w:eastAsia="es-ES"/>
              </w:rPr>
              <w:t>Puede revisar nuestro comentario </w:t>
            </w:r>
            <w:r w:rsidRPr="000D5162">
              <w:rPr>
                <w:rFonts w:ascii="Comic Sans MS" w:eastAsia="Times New Roman" w:hAnsi="Comic Sans MS" w:cs="Arial"/>
                <w:b/>
                <w:bCs/>
                <w:color w:val="0084C4"/>
                <w:sz w:val="28"/>
                <w:szCs w:val="28"/>
                <w:u w:val="single"/>
                <w:lang w:eastAsia="es-ES"/>
              </w:rPr>
              <w:t>¿Cómo, dónde y cuándo presentar el Aplazamiento o Moratoria a la Seguridad Social?</w:t>
            </w:r>
          </w:p>
          <w:p w:rsidR="00D9033F" w:rsidRPr="000D5162" w:rsidRDefault="00D9033F" w:rsidP="000D5162">
            <w:pPr>
              <w:spacing w:after="0" w:line="240" w:lineRule="auto"/>
              <w:jc w:val="both"/>
              <w:rPr>
                <w:rFonts w:ascii="Comic Sans MS" w:eastAsia="Times New Roman" w:hAnsi="Comic Sans MS" w:cs="Arial"/>
                <w:color w:val="6C6C6C"/>
                <w:sz w:val="28"/>
                <w:szCs w:val="28"/>
                <w:lang w:eastAsia="es-ES"/>
              </w:rPr>
            </w:pPr>
            <w:r w:rsidRPr="000D5162">
              <w:rPr>
                <w:rFonts w:ascii="Comic Sans MS" w:eastAsia="Times New Roman" w:hAnsi="Comic Sans MS" w:cs="Arial"/>
                <w:color w:val="6C6C6C"/>
                <w:sz w:val="28"/>
                <w:szCs w:val="28"/>
                <w:lang w:eastAsia="es-ES"/>
              </w:rPr>
              <w:t>.</w:t>
            </w:r>
            <w:r w:rsidRPr="000D5162">
              <w:rPr>
                <w:rFonts w:ascii="Comic Sans MS" w:eastAsia="Times New Roman" w:hAnsi="Comic Sans MS" w:cs="Arial"/>
                <w:b/>
                <w:bCs/>
                <w:noProof/>
                <w:color w:val="0084C4"/>
                <w:sz w:val="28"/>
                <w:szCs w:val="28"/>
                <w:lang w:eastAsia="es-ES"/>
              </w:rPr>
              <w:drawing>
                <wp:inline distT="0" distB="0" distL="0" distR="0" wp14:anchorId="19372D33" wp14:editId="6D35E0D2">
                  <wp:extent cx="2857500" cy="2343150"/>
                  <wp:effectExtent l="0" t="0" r="0" b="0"/>
                  <wp:docPr id="3" name="Imagen 3" descr="Aplaza">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laza">
                            <a:hlinkClick r:id="rId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343150"/>
                          </a:xfrm>
                          <a:prstGeom prst="rect">
                            <a:avLst/>
                          </a:prstGeom>
                          <a:noFill/>
                          <a:ln>
                            <a:noFill/>
                          </a:ln>
                        </pic:spPr>
                      </pic:pic>
                    </a:graphicData>
                  </a:graphic>
                </wp:inline>
              </w:drawing>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0D5162" w:rsidRPr="000D5162" w:rsidRDefault="00D9033F" w:rsidP="000D5162">
            <w:pPr>
              <w:spacing w:after="0" w:line="240" w:lineRule="auto"/>
              <w:jc w:val="both"/>
              <w:rPr>
                <w:rFonts w:ascii="Comic Sans MS" w:eastAsia="Times New Roman" w:hAnsi="Comic Sans MS" w:cs="Arial"/>
                <w:color w:val="6C6C6C"/>
                <w:sz w:val="28"/>
                <w:szCs w:val="28"/>
                <w:lang w:eastAsia="es-ES"/>
              </w:rPr>
            </w:pPr>
            <w:r w:rsidRPr="000D5162">
              <w:rPr>
                <w:rFonts w:ascii="Comic Sans MS" w:eastAsia="Times New Roman" w:hAnsi="Comic Sans MS" w:cs="Arial"/>
                <w:color w:val="6C6C6C"/>
                <w:sz w:val="28"/>
                <w:szCs w:val="28"/>
                <w:lang w:eastAsia="es-ES"/>
              </w:rPr>
              <w:t>Únicamente a través del </w:t>
            </w:r>
            <w:hyperlink r:id="rId9" w:tgtFrame="_blank" w:history="1">
              <w:r w:rsidRPr="000D5162">
                <w:rPr>
                  <w:rFonts w:ascii="Comic Sans MS" w:eastAsia="Times New Roman" w:hAnsi="Comic Sans MS" w:cs="Arial"/>
                  <w:b/>
                  <w:bCs/>
                  <w:color w:val="0084C4"/>
                  <w:sz w:val="28"/>
                  <w:szCs w:val="28"/>
                  <w:u w:val="single"/>
                  <w:lang w:eastAsia="es-ES"/>
                </w:rPr>
                <w:t>Sistema RED</w:t>
              </w:r>
            </w:hyperlink>
            <w:r w:rsidRPr="000D5162">
              <w:rPr>
                <w:rFonts w:ascii="Comic Sans MS" w:eastAsia="Times New Roman" w:hAnsi="Comic Sans MS" w:cs="Arial"/>
                <w:color w:val="6C6C6C"/>
                <w:sz w:val="28"/>
                <w:szCs w:val="28"/>
                <w:lang w:eastAsia="es-ES"/>
              </w:rPr>
              <w:t>.</w:t>
            </w:r>
          </w:p>
          <w:p w:rsidR="000D5162" w:rsidRPr="000D5162" w:rsidRDefault="00D9033F" w:rsidP="000D5162">
            <w:pPr>
              <w:spacing w:after="0" w:line="240" w:lineRule="auto"/>
              <w:jc w:val="both"/>
              <w:rPr>
                <w:rFonts w:ascii="Comic Sans MS" w:eastAsia="Times New Roman" w:hAnsi="Comic Sans MS" w:cs="Arial"/>
                <w:b/>
                <w:bCs/>
                <w:color w:val="0084C4"/>
                <w:sz w:val="28"/>
                <w:szCs w:val="28"/>
                <w:u w:val="single"/>
                <w:lang w:eastAsia="es-ES"/>
              </w:rPr>
            </w:pPr>
            <w:r w:rsidRPr="000D5162">
              <w:rPr>
                <w:rFonts w:ascii="Comic Sans MS" w:eastAsia="Times New Roman" w:hAnsi="Comic Sans MS" w:cs="Arial"/>
                <w:noProof/>
                <w:color w:val="6C6C6C"/>
                <w:sz w:val="28"/>
                <w:szCs w:val="28"/>
                <w:lang w:eastAsia="es-ES"/>
              </w:rPr>
              <w:drawing>
                <wp:inline distT="0" distB="0" distL="0" distR="0" wp14:anchorId="74CDCE13" wp14:editId="5E10D8E4">
                  <wp:extent cx="438150" cy="304800"/>
                  <wp:effectExtent l="0" t="0" r="0" b="0"/>
                  <wp:docPr id="4" name="Imagen 4" desc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Pr="000D5162">
              <w:rPr>
                <w:rFonts w:ascii="Comic Sans MS" w:eastAsia="Times New Roman" w:hAnsi="Comic Sans MS" w:cs="Arial"/>
                <w:color w:val="6C6C6C"/>
                <w:sz w:val="28"/>
                <w:szCs w:val="28"/>
                <w:lang w:eastAsia="es-ES"/>
              </w:rPr>
              <w:t>Puede revisar nuestro comentario </w:t>
            </w:r>
            <w:r w:rsidRPr="000D5162">
              <w:rPr>
                <w:rFonts w:ascii="Comic Sans MS" w:eastAsia="Times New Roman" w:hAnsi="Comic Sans MS" w:cs="Arial"/>
                <w:b/>
                <w:bCs/>
                <w:color w:val="0084C4"/>
                <w:sz w:val="28"/>
                <w:szCs w:val="28"/>
                <w:u w:val="single"/>
                <w:lang w:eastAsia="es-ES"/>
              </w:rPr>
              <w:t xml:space="preserve">¿Cómo, </w:t>
            </w:r>
            <w:r w:rsidR="000D5162" w:rsidRPr="000D5162">
              <w:rPr>
                <w:rFonts w:ascii="Comic Sans MS" w:eastAsia="Times New Roman" w:hAnsi="Comic Sans MS" w:cs="Arial"/>
                <w:b/>
                <w:bCs/>
                <w:color w:val="0084C4"/>
                <w:sz w:val="28"/>
                <w:szCs w:val="28"/>
                <w:u w:val="single"/>
                <w:lang w:eastAsia="es-ES"/>
              </w:rPr>
              <w:t>¿dónde y cuándo presentar el Aplazamiento o Moratoria a la Seguridad Social?</w:t>
            </w:r>
          </w:p>
          <w:p w:rsidR="00D9033F" w:rsidRPr="000D5162" w:rsidRDefault="00D9033F" w:rsidP="000D5162">
            <w:pPr>
              <w:spacing w:after="0" w:line="240" w:lineRule="auto"/>
              <w:jc w:val="both"/>
              <w:rPr>
                <w:rFonts w:ascii="Comic Sans MS" w:eastAsia="Times New Roman" w:hAnsi="Comic Sans MS" w:cs="Arial"/>
                <w:color w:val="6C6C6C"/>
                <w:sz w:val="28"/>
                <w:szCs w:val="28"/>
                <w:lang w:eastAsia="es-ES"/>
              </w:rPr>
            </w:pPr>
            <w:r w:rsidRPr="000D5162">
              <w:rPr>
                <w:rFonts w:ascii="Comic Sans MS" w:eastAsia="Times New Roman" w:hAnsi="Comic Sans MS" w:cs="Arial"/>
                <w:color w:val="6C6C6C"/>
                <w:sz w:val="28"/>
                <w:szCs w:val="28"/>
                <w:lang w:eastAsia="es-ES"/>
              </w:rPr>
              <w:t>.</w:t>
            </w:r>
            <w:r w:rsidRPr="000D5162">
              <w:rPr>
                <w:rFonts w:ascii="Comic Sans MS" w:eastAsia="Times New Roman" w:hAnsi="Comic Sans MS" w:cs="Arial"/>
                <w:b/>
                <w:bCs/>
                <w:noProof/>
                <w:color w:val="0084C4"/>
                <w:sz w:val="28"/>
                <w:szCs w:val="28"/>
                <w:lang w:eastAsia="es-ES"/>
              </w:rPr>
              <w:drawing>
                <wp:inline distT="0" distB="0" distL="0" distR="0" wp14:anchorId="166792DC" wp14:editId="5CABEB8B">
                  <wp:extent cx="2857500" cy="1647825"/>
                  <wp:effectExtent l="0" t="0" r="0" b="9525"/>
                  <wp:docPr id="5" name="Imagen 5" descr="RED1">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D1">
                            <a:hlinkClick r:id="rId9"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647825"/>
                          </a:xfrm>
                          <a:prstGeom prst="rect">
                            <a:avLst/>
                          </a:prstGeom>
                          <a:noFill/>
                          <a:ln>
                            <a:noFill/>
                          </a:ln>
                        </pic:spPr>
                      </pic:pic>
                    </a:graphicData>
                  </a:graphic>
                </wp:inline>
              </w:drawing>
            </w:r>
          </w:p>
        </w:tc>
      </w:tr>
      <w:tr w:rsidR="00D9033F" w:rsidRPr="000D5162" w:rsidTr="00D9033F">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D9033F" w:rsidRPr="000D5162" w:rsidRDefault="00D9033F" w:rsidP="000D5162">
            <w:pPr>
              <w:spacing w:after="0" w:line="240" w:lineRule="auto"/>
              <w:jc w:val="both"/>
              <w:rPr>
                <w:rFonts w:ascii="Comic Sans MS" w:eastAsia="Times New Roman" w:hAnsi="Comic Sans MS" w:cs="Arial"/>
                <w:color w:val="6C6C6C"/>
                <w:sz w:val="28"/>
                <w:szCs w:val="28"/>
                <w:lang w:eastAsia="es-ES"/>
              </w:rPr>
            </w:pPr>
            <w:r w:rsidRPr="000D5162">
              <w:rPr>
                <w:rFonts w:ascii="Comic Sans MS" w:eastAsia="Times New Roman" w:hAnsi="Comic Sans MS" w:cs="Arial"/>
                <w:color w:val="6C6C6C"/>
                <w:sz w:val="28"/>
                <w:szCs w:val="28"/>
                <w:lang w:eastAsia="es-ES"/>
              </w:rPr>
              <w:t>Beneficios</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D9033F" w:rsidRPr="000D5162" w:rsidRDefault="00D9033F" w:rsidP="000D5162">
            <w:pPr>
              <w:spacing w:after="0" w:line="240" w:lineRule="auto"/>
              <w:jc w:val="both"/>
              <w:rPr>
                <w:rFonts w:ascii="Comic Sans MS" w:eastAsia="Times New Roman" w:hAnsi="Comic Sans MS" w:cs="Arial"/>
                <w:color w:val="6C6C6C"/>
                <w:sz w:val="28"/>
                <w:szCs w:val="28"/>
                <w:lang w:eastAsia="es-ES"/>
              </w:rPr>
            </w:pPr>
            <w:r w:rsidRPr="000D5162">
              <w:rPr>
                <w:rFonts w:ascii="Comic Sans MS" w:eastAsia="Times New Roman" w:hAnsi="Comic Sans MS" w:cs="Arial"/>
                <w:color w:val="6C6C6C"/>
                <w:sz w:val="28"/>
                <w:szCs w:val="28"/>
                <w:lang w:eastAsia="es-ES"/>
              </w:rPr>
              <w:t>Permite el aplazamiento de las cotizaciones a la Seguridad Social a un tipo del 0,5% de interés, disponiendo de un </w:t>
            </w:r>
            <w:r w:rsidRPr="000D5162">
              <w:rPr>
                <w:rFonts w:ascii="Comic Sans MS" w:eastAsia="Times New Roman" w:hAnsi="Comic Sans MS" w:cs="Arial"/>
                <w:b/>
                <w:bCs/>
                <w:color w:val="0084C4"/>
                <w:sz w:val="28"/>
                <w:szCs w:val="28"/>
                <w:u w:val="single"/>
                <w:lang w:eastAsia="es-ES"/>
              </w:rPr>
              <w:t>plazo de amortización de 4 meses por cada mensualidad solicitada</w:t>
            </w:r>
            <w:r w:rsidRPr="000D5162">
              <w:rPr>
                <w:rFonts w:ascii="Comic Sans MS" w:eastAsia="Times New Roman" w:hAnsi="Comic Sans MS" w:cs="Arial"/>
                <w:color w:val="6C6C6C"/>
                <w:sz w:val="28"/>
                <w:szCs w:val="28"/>
                <w:lang w:eastAsia="es-ES"/>
              </w:rPr>
              <w:t>. </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D9033F" w:rsidRPr="000D5162" w:rsidRDefault="00D9033F" w:rsidP="000D5162">
            <w:pPr>
              <w:spacing w:after="0" w:line="240" w:lineRule="auto"/>
              <w:jc w:val="both"/>
              <w:rPr>
                <w:rFonts w:ascii="Comic Sans MS" w:eastAsia="Times New Roman" w:hAnsi="Comic Sans MS" w:cs="Arial"/>
                <w:color w:val="6C6C6C"/>
                <w:sz w:val="28"/>
                <w:szCs w:val="28"/>
                <w:lang w:eastAsia="es-ES"/>
              </w:rPr>
            </w:pPr>
            <w:r w:rsidRPr="000D5162">
              <w:rPr>
                <w:rFonts w:ascii="Comic Sans MS" w:eastAsia="Times New Roman" w:hAnsi="Comic Sans MS" w:cs="Arial"/>
                <w:color w:val="6C6C6C"/>
                <w:sz w:val="28"/>
                <w:szCs w:val="28"/>
                <w:lang w:eastAsia="es-ES"/>
              </w:rPr>
              <w:t xml:space="preserve">Para empresas las cuotas de </w:t>
            </w:r>
            <w:r w:rsidR="000D5162" w:rsidRPr="000D5162">
              <w:rPr>
                <w:rFonts w:ascii="Comic Sans MS" w:eastAsia="Times New Roman" w:hAnsi="Comic Sans MS" w:cs="Arial"/>
                <w:color w:val="6C6C6C"/>
                <w:sz w:val="28"/>
                <w:szCs w:val="28"/>
                <w:lang w:eastAsia="es-ES"/>
              </w:rPr>
              <w:t>abril</w:t>
            </w:r>
            <w:r w:rsidRPr="000D5162">
              <w:rPr>
                <w:rFonts w:ascii="Comic Sans MS" w:eastAsia="Times New Roman" w:hAnsi="Comic Sans MS" w:cs="Arial"/>
                <w:color w:val="6C6C6C"/>
                <w:sz w:val="28"/>
                <w:szCs w:val="28"/>
                <w:lang w:eastAsia="es-ES"/>
              </w:rPr>
              <w:t xml:space="preserve"> a </w:t>
            </w:r>
            <w:r w:rsidR="000D5162" w:rsidRPr="000D5162">
              <w:rPr>
                <w:rFonts w:ascii="Comic Sans MS" w:eastAsia="Times New Roman" w:hAnsi="Comic Sans MS" w:cs="Arial"/>
                <w:color w:val="6C6C6C"/>
                <w:sz w:val="28"/>
                <w:szCs w:val="28"/>
                <w:lang w:eastAsia="es-ES"/>
              </w:rPr>
              <w:t>junio</w:t>
            </w:r>
            <w:r w:rsidRPr="000D5162">
              <w:rPr>
                <w:rFonts w:ascii="Comic Sans MS" w:eastAsia="Times New Roman" w:hAnsi="Comic Sans MS" w:cs="Arial"/>
                <w:color w:val="6C6C6C"/>
                <w:sz w:val="28"/>
                <w:szCs w:val="28"/>
                <w:lang w:eastAsia="es-ES"/>
              </w:rPr>
              <w:t xml:space="preserve"> de 2020, si son autorizadas, se deberán ingresar en los meses de noviembre, diciembre de 2020 y enero de 2021, respectivamente; los autónomos ingresarán en diciembre de 2020, y enero y febrero de 2021 las cuotas de mayo a julio de 2020.</w:t>
            </w:r>
          </w:p>
        </w:tc>
      </w:tr>
      <w:tr w:rsidR="00D9033F" w:rsidRPr="000D5162" w:rsidTr="00D9033F">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D9033F" w:rsidRPr="000D5162" w:rsidRDefault="00D9033F" w:rsidP="000D5162">
            <w:pPr>
              <w:spacing w:after="0" w:line="240" w:lineRule="auto"/>
              <w:jc w:val="both"/>
              <w:rPr>
                <w:rFonts w:ascii="Comic Sans MS" w:eastAsia="Times New Roman" w:hAnsi="Comic Sans MS" w:cs="Arial"/>
                <w:color w:val="6C6C6C"/>
                <w:sz w:val="28"/>
                <w:szCs w:val="28"/>
                <w:lang w:eastAsia="es-ES"/>
              </w:rPr>
            </w:pPr>
            <w:r w:rsidRPr="000D5162">
              <w:rPr>
                <w:rFonts w:ascii="Comic Sans MS" w:eastAsia="Times New Roman" w:hAnsi="Comic Sans MS" w:cs="Arial"/>
                <w:color w:val="6C6C6C"/>
                <w:sz w:val="28"/>
                <w:szCs w:val="28"/>
                <w:lang w:eastAsia="es-ES"/>
              </w:rPr>
              <w:t>Resolución de Solicitud</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D9033F" w:rsidRPr="000D5162" w:rsidRDefault="00D9033F" w:rsidP="000D5162">
            <w:pPr>
              <w:spacing w:after="0" w:line="240" w:lineRule="auto"/>
              <w:jc w:val="both"/>
              <w:rPr>
                <w:rFonts w:ascii="Comic Sans MS" w:eastAsia="Times New Roman" w:hAnsi="Comic Sans MS" w:cs="Arial"/>
                <w:color w:val="6C6C6C"/>
                <w:sz w:val="28"/>
                <w:szCs w:val="28"/>
                <w:lang w:eastAsia="es-ES"/>
              </w:rPr>
            </w:pPr>
            <w:r w:rsidRPr="000D5162">
              <w:rPr>
                <w:rFonts w:ascii="Comic Sans MS" w:eastAsia="Times New Roman" w:hAnsi="Comic Sans MS" w:cs="Arial"/>
                <w:color w:val="6C6C6C"/>
                <w:sz w:val="28"/>
                <w:szCs w:val="28"/>
                <w:lang w:eastAsia="es-ES"/>
              </w:rPr>
              <w:t>Se concederá mediante una única resolución, con independencia de los meses que comprenda. </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D9033F" w:rsidRPr="000D5162" w:rsidRDefault="00D9033F" w:rsidP="000D5162">
            <w:pPr>
              <w:spacing w:after="0" w:line="240" w:lineRule="auto"/>
              <w:jc w:val="both"/>
              <w:rPr>
                <w:rFonts w:ascii="Comic Sans MS" w:eastAsia="Times New Roman" w:hAnsi="Comic Sans MS" w:cs="Arial"/>
                <w:color w:val="6C6C6C"/>
                <w:sz w:val="28"/>
                <w:szCs w:val="28"/>
                <w:lang w:eastAsia="es-ES"/>
              </w:rPr>
            </w:pPr>
            <w:r w:rsidRPr="000D5162">
              <w:rPr>
                <w:rFonts w:ascii="Comic Sans MS" w:eastAsia="Times New Roman" w:hAnsi="Comic Sans MS" w:cs="Arial"/>
                <w:color w:val="6C6C6C"/>
                <w:sz w:val="28"/>
                <w:szCs w:val="28"/>
                <w:lang w:eastAsia="es-ES"/>
              </w:rPr>
              <w:t>La concesión se comunicará en el plazo de los tres meses siguientes al de la solicitud. Ahora bien, su aplicación será efectiva por parte de la TGSS en las liquidaciones de cuotas que se practiquen a partir del momento en que se presente la solicitud.</w:t>
            </w:r>
          </w:p>
        </w:tc>
      </w:tr>
      <w:tr w:rsidR="00D9033F" w:rsidRPr="000D5162" w:rsidTr="00D9033F">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D9033F" w:rsidRPr="000D5162" w:rsidRDefault="00D9033F" w:rsidP="000D5162">
            <w:pPr>
              <w:spacing w:after="0" w:line="240" w:lineRule="auto"/>
              <w:jc w:val="both"/>
              <w:rPr>
                <w:rFonts w:ascii="Comic Sans MS" w:eastAsia="Times New Roman" w:hAnsi="Comic Sans MS" w:cs="Arial"/>
                <w:color w:val="6C6C6C"/>
                <w:sz w:val="28"/>
                <w:szCs w:val="28"/>
                <w:lang w:eastAsia="es-ES"/>
              </w:rPr>
            </w:pPr>
            <w:r w:rsidRPr="000D5162">
              <w:rPr>
                <w:rFonts w:ascii="Comic Sans MS" w:eastAsia="Times New Roman" w:hAnsi="Comic Sans MS" w:cs="Arial"/>
                <w:color w:val="6C6C6C"/>
                <w:sz w:val="28"/>
                <w:szCs w:val="28"/>
                <w:lang w:eastAsia="es-ES"/>
              </w:rPr>
              <w:t>Garantías</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D9033F" w:rsidRPr="000D5162" w:rsidRDefault="00D9033F" w:rsidP="000D5162">
            <w:pPr>
              <w:spacing w:after="0" w:line="240" w:lineRule="auto"/>
              <w:jc w:val="both"/>
              <w:rPr>
                <w:rFonts w:ascii="Comic Sans MS" w:eastAsia="Times New Roman" w:hAnsi="Comic Sans MS" w:cs="Arial"/>
                <w:color w:val="6C6C6C"/>
                <w:sz w:val="28"/>
                <w:szCs w:val="28"/>
                <w:lang w:eastAsia="es-ES"/>
              </w:rPr>
            </w:pPr>
            <w:r w:rsidRPr="000D5162">
              <w:rPr>
                <w:rFonts w:ascii="Comic Sans MS" w:eastAsia="Times New Roman" w:hAnsi="Comic Sans MS" w:cs="Arial"/>
                <w:color w:val="6C6C6C"/>
                <w:sz w:val="28"/>
                <w:szCs w:val="28"/>
                <w:lang w:eastAsia="es-ES"/>
              </w:rPr>
              <w:t>No es necesaria la constitución de garantías cuando el total de la deuda aplazable sea igual o inferior a 150.000 € o cuando, siendo la deuda aplazable inferior a 250.000 €, se acuerde que se ingrese al menos un tercio de esta última antes de que hayan transcurrido diez días desde la notificación de la concesión y el resto en los dos años siguientes.</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D9033F" w:rsidRPr="000D5162" w:rsidRDefault="00D9033F" w:rsidP="000D5162">
            <w:pPr>
              <w:spacing w:after="0" w:line="240" w:lineRule="auto"/>
              <w:jc w:val="both"/>
              <w:rPr>
                <w:rFonts w:ascii="Comic Sans MS" w:eastAsia="Times New Roman" w:hAnsi="Comic Sans MS" w:cs="Arial"/>
                <w:color w:val="6C6C6C"/>
                <w:sz w:val="28"/>
                <w:szCs w:val="28"/>
                <w:lang w:eastAsia="es-ES"/>
              </w:rPr>
            </w:pPr>
            <w:r w:rsidRPr="000D5162">
              <w:rPr>
                <w:rFonts w:ascii="Comic Sans MS" w:eastAsia="Times New Roman" w:hAnsi="Comic Sans MS" w:cs="Arial"/>
                <w:color w:val="6C6C6C"/>
                <w:sz w:val="28"/>
                <w:szCs w:val="28"/>
                <w:lang w:eastAsia="es-ES"/>
              </w:rPr>
              <w:t>No es necesaria la constitución de garantías.</w:t>
            </w:r>
          </w:p>
        </w:tc>
      </w:tr>
      <w:tr w:rsidR="00D9033F" w:rsidRPr="000D5162" w:rsidTr="00D9033F">
        <w:tc>
          <w:tcPr>
            <w:tcW w:w="0" w:type="auto"/>
            <w:shd w:val="clear" w:color="auto" w:fill="FFFFFF"/>
            <w:vAlign w:val="center"/>
            <w:hideMark/>
          </w:tcPr>
          <w:p w:rsidR="00D9033F" w:rsidRPr="000D5162" w:rsidRDefault="00D9033F" w:rsidP="000D5162">
            <w:pPr>
              <w:spacing w:after="0" w:line="240" w:lineRule="auto"/>
              <w:jc w:val="both"/>
              <w:rPr>
                <w:rFonts w:ascii="Comic Sans MS" w:eastAsia="Times New Roman" w:hAnsi="Comic Sans MS" w:cs="Arial"/>
                <w:color w:val="6C6C6C"/>
                <w:sz w:val="28"/>
                <w:szCs w:val="28"/>
                <w:lang w:eastAsia="es-ES"/>
              </w:rPr>
            </w:pPr>
          </w:p>
        </w:tc>
        <w:tc>
          <w:tcPr>
            <w:tcW w:w="0" w:type="auto"/>
            <w:shd w:val="clear" w:color="auto" w:fill="FFFFFF"/>
            <w:vAlign w:val="center"/>
            <w:hideMark/>
          </w:tcPr>
          <w:p w:rsidR="00D9033F" w:rsidRPr="000D5162" w:rsidRDefault="00D9033F" w:rsidP="000D5162">
            <w:pPr>
              <w:spacing w:after="0" w:line="240" w:lineRule="auto"/>
              <w:jc w:val="both"/>
              <w:rPr>
                <w:rFonts w:ascii="Comic Sans MS" w:eastAsia="Times New Roman" w:hAnsi="Comic Sans MS" w:cs="Times New Roman"/>
                <w:sz w:val="28"/>
                <w:szCs w:val="28"/>
                <w:lang w:eastAsia="es-ES"/>
              </w:rPr>
            </w:pPr>
          </w:p>
        </w:tc>
        <w:tc>
          <w:tcPr>
            <w:tcW w:w="0" w:type="auto"/>
            <w:shd w:val="clear" w:color="auto" w:fill="FFFFFF"/>
            <w:vAlign w:val="center"/>
            <w:hideMark/>
          </w:tcPr>
          <w:p w:rsidR="00D9033F" w:rsidRPr="000D5162" w:rsidRDefault="00D9033F" w:rsidP="000D5162">
            <w:pPr>
              <w:spacing w:after="0" w:line="240" w:lineRule="auto"/>
              <w:jc w:val="both"/>
              <w:rPr>
                <w:rFonts w:ascii="Comic Sans MS" w:eastAsia="Times New Roman" w:hAnsi="Comic Sans MS" w:cs="Times New Roman"/>
                <w:sz w:val="28"/>
                <w:szCs w:val="28"/>
                <w:lang w:eastAsia="es-ES"/>
              </w:rPr>
            </w:pPr>
          </w:p>
        </w:tc>
      </w:tr>
      <w:tr w:rsidR="00D9033F" w:rsidRPr="000D5162" w:rsidTr="00D9033F">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D9033F" w:rsidRPr="000D5162" w:rsidRDefault="00D9033F" w:rsidP="000D5162">
            <w:pPr>
              <w:spacing w:after="0" w:line="240" w:lineRule="auto"/>
              <w:jc w:val="both"/>
              <w:rPr>
                <w:rFonts w:ascii="Comic Sans MS" w:eastAsia="Times New Roman" w:hAnsi="Comic Sans MS" w:cs="Arial"/>
                <w:color w:val="6C6C6C"/>
                <w:sz w:val="28"/>
                <w:szCs w:val="28"/>
                <w:lang w:eastAsia="es-ES"/>
              </w:rPr>
            </w:pPr>
            <w:r w:rsidRPr="000D5162">
              <w:rPr>
                <w:rFonts w:ascii="Comic Sans MS" w:eastAsia="Times New Roman" w:hAnsi="Comic Sans MS" w:cs="Arial"/>
                <w:color w:val="6C6C6C"/>
                <w:sz w:val="28"/>
                <w:szCs w:val="28"/>
                <w:lang w:eastAsia="es-ES"/>
              </w:rPr>
              <w:t>Simulación Gráfica</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D9033F" w:rsidRPr="000D5162" w:rsidRDefault="00D9033F" w:rsidP="000D5162">
            <w:pPr>
              <w:spacing w:after="0" w:line="240" w:lineRule="auto"/>
              <w:jc w:val="both"/>
              <w:rPr>
                <w:rFonts w:ascii="Comic Sans MS" w:eastAsia="Times New Roman" w:hAnsi="Comic Sans MS" w:cs="Arial"/>
                <w:color w:val="6C6C6C"/>
                <w:sz w:val="28"/>
                <w:szCs w:val="28"/>
                <w:lang w:eastAsia="es-ES"/>
              </w:rPr>
            </w:pPr>
            <w:r w:rsidRPr="000D5162">
              <w:rPr>
                <w:rFonts w:ascii="Comic Sans MS" w:eastAsia="Times New Roman" w:hAnsi="Comic Sans MS" w:cs="Arial"/>
                <w:b/>
                <w:bCs/>
                <w:noProof/>
                <w:color w:val="0084C4"/>
                <w:sz w:val="28"/>
                <w:szCs w:val="28"/>
                <w:lang w:eastAsia="es-ES"/>
              </w:rPr>
              <w:drawing>
                <wp:inline distT="0" distB="0" distL="0" distR="0" wp14:anchorId="1E79C163" wp14:editId="27C8DB4F">
                  <wp:extent cx="3286125" cy="1028700"/>
                  <wp:effectExtent l="0" t="0" r="9525" b="0"/>
                  <wp:docPr id="6" name="Imagen 6" descr="Aplazamiento">
                    <a:hlinkClick xmlns:a="http://schemas.openxmlformats.org/drawingml/2006/main" r:id="rId12" tooltip="&quot;Aplazamien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lazamiento">
                            <a:hlinkClick r:id="rId12" tooltip="&quot;Aplazamien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6125" cy="1028700"/>
                          </a:xfrm>
                          <a:prstGeom prst="rect">
                            <a:avLst/>
                          </a:prstGeom>
                          <a:noFill/>
                          <a:ln>
                            <a:noFill/>
                          </a:ln>
                        </pic:spPr>
                      </pic:pic>
                    </a:graphicData>
                  </a:graphic>
                </wp:inline>
              </w:drawing>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D9033F" w:rsidRPr="000D5162" w:rsidRDefault="00D9033F" w:rsidP="000D5162">
            <w:pPr>
              <w:spacing w:after="0" w:line="240" w:lineRule="auto"/>
              <w:jc w:val="both"/>
              <w:rPr>
                <w:rFonts w:ascii="Comic Sans MS" w:eastAsia="Times New Roman" w:hAnsi="Comic Sans MS" w:cs="Arial"/>
                <w:color w:val="6C6C6C"/>
                <w:sz w:val="28"/>
                <w:szCs w:val="28"/>
                <w:lang w:eastAsia="es-ES"/>
              </w:rPr>
            </w:pPr>
            <w:r w:rsidRPr="000D5162">
              <w:rPr>
                <w:rFonts w:ascii="Comic Sans MS" w:eastAsia="Times New Roman" w:hAnsi="Comic Sans MS" w:cs="Arial"/>
                <w:b/>
                <w:bCs/>
                <w:noProof/>
                <w:color w:val="0084C4"/>
                <w:sz w:val="28"/>
                <w:szCs w:val="28"/>
                <w:lang w:eastAsia="es-ES"/>
              </w:rPr>
              <w:drawing>
                <wp:inline distT="0" distB="0" distL="0" distR="0" wp14:anchorId="3FFCC709" wp14:editId="16825CA8">
                  <wp:extent cx="3286125" cy="1295400"/>
                  <wp:effectExtent l="0" t="0" r="9525" b="0"/>
                  <wp:docPr id="7" name="Imagen 7" descr="Moratoria">
                    <a:hlinkClick xmlns:a="http://schemas.openxmlformats.org/drawingml/2006/main" r:id="rId14" tooltip="&quot;Aplazamien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ratoria">
                            <a:hlinkClick r:id="rId14" tooltip="&quot;Aplazamien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6125" cy="1295400"/>
                          </a:xfrm>
                          <a:prstGeom prst="rect">
                            <a:avLst/>
                          </a:prstGeom>
                          <a:noFill/>
                          <a:ln>
                            <a:noFill/>
                          </a:ln>
                        </pic:spPr>
                      </pic:pic>
                    </a:graphicData>
                  </a:graphic>
                </wp:inline>
              </w:drawing>
            </w:r>
          </w:p>
        </w:tc>
      </w:tr>
    </w:tbl>
    <w:p w:rsidR="00D9033F" w:rsidRPr="000D5162" w:rsidRDefault="00D9033F" w:rsidP="000D5162">
      <w:pPr>
        <w:jc w:val="both"/>
        <w:rPr>
          <w:rFonts w:ascii="Comic Sans MS" w:hAnsi="Comic Sans MS"/>
          <w:sz w:val="28"/>
          <w:szCs w:val="28"/>
        </w:rPr>
      </w:pPr>
    </w:p>
    <w:sectPr w:rsidR="00D9033F" w:rsidRPr="000D51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527DD"/>
    <w:multiLevelType w:val="multilevel"/>
    <w:tmpl w:val="2210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3F"/>
    <w:rsid w:val="000D5162"/>
    <w:rsid w:val="00D903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64AC"/>
  <w15:chartTrackingRefBased/>
  <w15:docId w15:val="{2E5F2BAD-99D2-4A81-81D6-5061FE46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0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supercontable.com/boletin/B/img/img_aplazamiento_grafico_grande.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ede.seg-social.gob.es/wps/portal/sede/sede/EmpresasyProfesionales/recaudacion/04recaudacion/!ut/p/z1/rVJRb5swEP4te-CR3Bk7gPdGqzZtmqzqMprgl8oBQ6gCpkBLt1-_S_qSSmuyqbNkWXf67vPdfR8oWIGq9UtZ6L60td5SnCj_gTNfMIlsNsHrC4zi-U0s-R2fRGNY7gH4wYkQ1N_UfwBAebL-HhSotO6bfgNJZzLzkNq6N3WZ2c7BXcJBUzWt6TTFrUn1c6ZTGs5BFAfhjqZJywySsUgFHc_NkGlXcOG7MpfMNYHkQmjp5UZQ2-pYZ_vG94BjmznOwGAKqtja9ZsMUb3mYQGqNblpTTt6bim96fum--qgg8MwjApri60ZGRr0TxUb2_WwegeEBd0r3P10ZM3IICGZggPATXxGgMtbKeLAQwIsX0ozQFzbtqJ-F_-4zhP0_L_Qj29DZFP0ZujPQ4zk3SKefWMcg-CT9NNTJiUxvHZ-PicxGt1v3LLOLawO3bd6b0YqKB-fnlRE3t7Z-ZWE-4y5myqOq5D7369-zczSPZucr8PhR17R8_N1nHz5DS16YTQ!/dz/d5/L2dBISEvZ0FBIS9nQSEh/"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seg-social.es/wps/portal/wss/internet/InformacionUtil/5300/1490" TargetMode="External"/><Relationship Id="rId14" Type="http://schemas.openxmlformats.org/officeDocument/2006/relationships/hyperlink" Target="http://www.supercontable.com/boletin/B/img/img_moratoria_grafico_grande.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664</Words>
  <Characters>3658</Characters>
  <Application>Microsoft Office Word</Application>
  <DocSecurity>0</DocSecurity>
  <Lines>30</Lines>
  <Paragraphs>8</Paragraphs>
  <ScaleCrop>false</ScaleCrop>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2020-05-05T11:40:00Z</dcterms:created>
  <dcterms:modified xsi:type="dcterms:W3CDTF">2020-05-05T11:59:00Z</dcterms:modified>
</cp:coreProperties>
</file>