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F648" w14:textId="28561E27" w:rsidR="00D805D3" w:rsidRPr="006B3420" w:rsidRDefault="00D805D3" w:rsidP="00D805D3">
      <w:pPr>
        <w:spacing w:after="100" w:line="240" w:lineRule="auto"/>
        <w:jc w:val="center"/>
        <w:rPr>
          <w:rFonts w:ascii="Arial" w:eastAsia="Times New Roman" w:hAnsi="Arial" w:cs="Arial"/>
          <w:b/>
          <w:bCs/>
          <w:color w:val="FF0000"/>
          <w:sz w:val="36"/>
          <w:szCs w:val="36"/>
          <w:lang w:eastAsia="es-ES"/>
        </w:rPr>
      </w:pPr>
      <w:r w:rsidRPr="006B3420">
        <w:rPr>
          <w:rFonts w:ascii="Arial" w:eastAsia="Times New Roman" w:hAnsi="Arial" w:cs="Arial"/>
          <w:b/>
          <w:bCs/>
          <w:color w:val="FF0000"/>
          <w:sz w:val="36"/>
          <w:szCs w:val="36"/>
          <w:lang w:eastAsia="es-ES"/>
        </w:rPr>
        <w:t>PACTO DE TOLEDO: ASÍ QUEDAN LAS 21 RECOMENDACIONES PARA LA JUBILACIÓN Y LAS PENSIONES</w:t>
      </w:r>
    </w:p>
    <w:p w14:paraId="0ACF8FB2" w14:textId="77777777" w:rsidR="00D805D3" w:rsidRPr="00D805D3" w:rsidRDefault="00D805D3" w:rsidP="00D805D3">
      <w:pPr>
        <w:spacing w:after="100" w:line="240" w:lineRule="auto"/>
        <w:jc w:val="center"/>
        <w:rPr>
          <w:rFonts w:ascii="Arial" w:eastAsia="Times New Roman" w:hAnsi="Arial" w:cs="Arial"/>
          <w:color w:val="000000"/>
          <w:sz w:val="32"/>
          <w:szCs w:val="32"/>
          <w:lang w:eastAsia="es-ES"/>
        </w:rPr>
      </w:pPr>
    </w:p>
    <w:p w14:paraId="204B285C"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Los diputados han propuesto algunas modificaciones en materias como la jubilación anticipada, las cotizaciones necesarias o el método de revalorización</w:t>
      </w:r>
    </w:p>
    <w:p w14:paraId="7E58232A"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La Comisión del Pacto de Toledo, encargada del sistema de pensiones, concluyó este viernes los trabajos para proponer una nueva tanda de recomendaciones cuyo denominador común reside en la flexibilización de algunas de las condiciones impuestas en las reformas aplicadas tanto en 2011 como en 2013 en torno a la jubilación. Aunque el grueso de aquellos cambios se mantiene -la edad a los 67 o los años necesarios cotizados, entre otros-, los diputados han propuesto algunas modificaciones en materias como la jubilación anticipada, las cotizaciones necesarias o el método de revalorización.</w:t>
      </w:r>
    </w:p>
    <w:p w14:paraId="164A08FB"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Estas son las </w:t>
      </w:r>
      <w:r w:rsidRPr="006B3420">
        <w:rPr>
          <w:rFonts w:ascii="Comic Sans MS" w:eastAsia="Times New Roman" w:hAnsi="Comic Sans MS" w:cs="Arial"/>
          <w:color w:val="000000"/>
          <w:sz w:val="28"/>
          <w:szCs w:val="28"/>
          <w:u w:val="single"/>
          <w:lang w:eastAsia="es-ES"/>
        </w:rPr>
        <w:t>21 recomendaciones</w:t>
      </w:r>
      <w:r w:rsidRPr="006B3420">
        <w:rPr>
          <w:rFonts w:ascii="Comic Sans MS" w:eastAsia="Times New Roman" w:hAnsi="Comic Sans MS" w:cs="Arial"/>
          <w:color w:val="000000"/>
          <w:sz w:val="28"/>
          <w:szCs w:val="28"/>
          <w:lang w:eastAsia="es-ES"/>
        </w:rPr>
        <w:t> cerradas en la comisión parlamentaria del Pacto de Toledo para la reforma de las pensiones y la jubilación en España, de acuerdo con el borrador al que ha tenido acceso EFE, que las enumera desde cero.</w:t>
      </w:r>
    </w:p>
    <w:p w14:paraId="31474F70"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0. Defensa del </w:t>
      </w:r>
      <w:r w:rsidRPr="006B3420">
        <w:rPr>
          <w:rFonts w:ascii="Comic Sans MS" w:eastAsia="Times New Roman" w:hAnsi="Comic Sans MS" w:cs="Arial"/>
          <w:color w:val="000000"/>
          <w:sz w:val="28"/>
          <w:szCs w:val="28"/>
          <w:u w:val="single"/>
          <w:lang w:eastAsia="es-ES"/>
        </w:rPr>
        <w:t>mantenimiento y mejora del sistema público de pensiones</w:t>
      </w:r>
      <w:r w:rsidRPr="006B3420">
        <w:rPr>
          <w:rFonts w:ascii="Comic Sans MS" w:eastAsia="Times New Roman" w:hAnsi="Comic Sans MS" w:cs="Arial"/>
          <w:color w:val="000000"/>
          <w:sz w:val="28"/>
          <w:szCs w:val="28"/>
          <w:lang w:eastAsia="es-ES"/>
        </w:rPr>
        <w:t>, basado en la solidaridad intergeneracional, la suficiencia de prestaciones, la equidad en el reparto de las cargas y la responsabilidad pública en la dirección y gestión del sistema.</w:t>
      </w:r>
    </w:p>
    <w:p w14:paraId="17BF55C1"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 Consolidación de la </w:t>
      </w:r>
      <w:r w:rsidRPr="006B3420">
        <w:rPr>
          <w:rFonts w:ascii="Comic Sans MS" w:eastAsia="Times New Roman" w:hAnsi="Comic Sans MS" w:cs="Arial"/>
          <w:color w:val="000000"/>
          <w:sz w:val="28"/>
          <w:szCs w:val="28"/>
          <w:u w:val="single"/>
          <w:lang w:eastAsia="es-ES"/>
        </w:rPr>
        <w:t>separación de fuentes</w:t>
      </w:r>
      <w:r w:rsidRPr="006B3420">
        <w:rPr>
          <w:rFonts w:ascii="Comic Sans MS" w:eastAsia="Times New Roman" w:hAnsi="Comic Sans MS" w:cs="Arial"/>
          <w:color w:val="000000"/>
          <w:sz w:val="28"/>
          <w:szCs w:val="28"/>
          <w:lang w:eastAsia="es-ES"/>
        </w:rPr>
        <w:t> y restablecimiento del equilibrio financiero, de forma que las cotizaciones sociales se destinen exclusivamente a financiar las prestaciones contributivas.</w:t>
      </w:r>
    </w:p>
    <w:p w14:paraId="22498D54"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2. Mantenimiento del poder adquisitivo y mejora de las pensiones, con una </w:t>
      </w:r>
      <w:r w:rsidRPr="006B3420">
        <w:rPr>
          <w:rFonts w:ascii="Comic Sans MS" w:eastAsia="Times New Roman" w:hAnsi="Comic Sans MS" w:cs="Arial"/>
          <w:color w:val="000000"/>
          <w:sz w:val="28"/>
          <w:szCs w:val="28"/>
          <w:u w:val="single"/>
          <w:lang w:eastAsia="es-ES"/>
        </w:rPr>
        <w:t>revalorización anual basada en el IPC real</w:t>
      </w:r>
      <w:r w:rsidRPr="006B3420">
        <w:rPr>
          <w:rFonts w:ascii="Comic Sans MS" w:eastAsia="Times New Roman" w:hAnsi="Comic Sans MS" w:cs="Arial"/>
          <w:color w:val="000000"/>
          <w:sz w:val="28"/>
          <w:szCs w:val="28"/>
          <w:lang w:eastAsia="es-ES"/>
        </w:rPr>
        <w:t>.</w:t>
      </w:r>
    </w:p>
    <w:p w14:paraId="7ABF9C8A"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3. </w:t>
      </w:r>
      <w:r w:rsidRPr="006B3420">
        <w:rPr>
          <w:rFonts w:ascii="Comic Sans MS" w:eastAsia="Times New Roman" w:hAnsi="Comic Sans MS" w:cs="Arial"/>
          <w:color w:val="000000"/>
          <w:sz w:val="28"/>
          <w:szCs w:val="28"/>
          <w:u w:val="single"/>
          <w:lang w:eastAsia="es-ES"/>
        </w:rPr>
        <w:t>El Fondo de Reserva no es el mecanismo adecuado</w:t>
      </w:r>
      <w:r w:rsidRPr="006B3420">
        <w:rPr>
          <w:rFonts w:ascii="Comic Sans MS" w:eastAsia="Times New Roman" w:hAnsi="Comic Sans MS" w:cs="Arial"/>
          <w:color w:val="000000"/>
          <w:sz w:val="28"/>
          <w:szCs w:val="28"/>
          <w:lang w:eastAsia="es-ES"/>
        </w:rPr>
        <w:t> para resolver los desequilibrios financieros de naturaleza estructural. Se propone establecer un remanente mínimo y endurecer su disponibilidad, y se suprime la recomendación de dotarlo anualmente con un porcentaje fijo.</w:t>
      </w:r>
    </w:p>
    <w:p w14:paraId="23E54FD9"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4. </w:t>
      </w:r>
      <w:r w:rsidRPr="006B3420">
        <w:rPr>
          <w:rFonts w:ascii="Comic Sans MS" w:eastAsia="Times New Roman" w:hAnsi="Comic Sans MS" w:cs="Arial"/>
          <w:color w:val="000000"/>
          <w:sz w:val="28"/>
          <w:szCs w:val="28"/>
          <w:u w:val="single"/>
          <w:lang w:eastAsia="es-ES"/>
        </w:rPr>
        <w:t>Integración y convergencia de regímenes</w:t>
      </w:r>
      <w:r w:rsidRPr="006B3420">
        <w:rPr>
          <w:rFonts w:ascii="Comic Sans MS" w:eastAsia="Times New Roman" w:hAnsi="Comic Sans MS" w:cs="Arial"/>
          <w:color w:val="000000"/>
          <w:sz w:val="28"/>
          <w:szCs w:val="28"/>
          <w:lang w:eastAsia="es-ES"/>
        </w:rPr>
        <w:t> para que solo quede el de trabajadores por cuenta ajena y el de trabajadores por cuenta propia, con el objetivo de tengan una protección social equiparable a partir de una cotización también similar, promoviendo que los autónomos coticen conforme a sus ingresos reales.</w:t>
      </w:r>
    </w:p>
    <w:p w14:paraId="2F34F919"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5. </w:t>
      </w:r>
      <w:r w:rsidRPr="006B3420">
        <w:rPr>
          <w:rFonts w:ascii="Comic Sans MS" w:eastAsia="Times New Roman" w:hAnsi="Comic Sans MS" w:cs="Arial"/>
          <w:color w:val="000000"/>
          <w:sz w:val="28"/>
          <w:szCs w:val="28"/>
          <w:u w:val="single"/>
          <w:lang w:eastAsia="es-ES"/>
        </w:rPr>
        <w:t>Posibilidad de elegir los años más favorables en el cálculo de la pensión</w:t>
      </w:r>
      <w:r w:rsidRPr="006B3420">
        <w:rPr>
          <w:rFonts w:ascii="Comic Sans MS" w:eastAsia="Times New Roman" w:hAnsi="Comic Sans MS" w:cs="Arial"/>
          <w:color w:val="000000"/>
          <w:sz w:val="28"/>
          <w:szCs w:val="28"/>
          <w:lang w:eastAsia="es-ES"/>
        </w:rPr>
        <w:t> para no perjudicar carreras laborales con periodos de desempleo y de precariedad, dado que progresivamente se está ampliando de 15 a 25 años el periodo de cotización utilizado para determinar la pensión.</w:t>
      </w:r>
    </w:p>
    <w:p w14:paraId="1E44EF94"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6. </w:t>
      </w:r>
      <w:r w:rsidRPr="006B3420">
        <w:rPr>
          <w:rFonts w:ascii="Comic Sans MS" w:eastAsia="Times New Roman" w:hAnsi="Comic Sans MS" w:cs="Arial"/>
          <w:color w:val="000000"/>
          <w:sz w:val="28"/>
          <w:szCs w:val="28"/>
          <w:u w:val="single"/>
          <w:lang w:eastAsia="es-ES"/>
        </w:rPr>
        <w:t>Los incentivos al empleo no podrán financiarse con cargo a las cotizaciones sociales</w:t>
      </w:r>
      <w:r w:rsidRPr="006B3420">
        <w:rPr>
          <w:rFonts w:ascii="Comic Sans MS" w:eastAsia="Times New Roman" w:hAnsi="Comic Sans MS" w:cs="Arial"/>
          <w:color w:val="000000"/>
          <w:sz w:val="28"/>
          <w:szCs w:val="28"/>
          <w:lang w:eastAsia="es-ES"/>
        </w:rPr>
        <w:t> y han de ser una herramienta excepcional y enfocada a colectivos de personas con discapacidad o en riesgo de exclusión social y a las víctimas de violencia de género, una vez demostrada su ineficacia cuando son generalizados.</w:t>
      </w:r>
    </w:p>
    <w:p w14:paraId="55A7BCC8"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7. </w:t>
      </w:r>
      <w:r w:rsidRPr="006B3420">
        <w:rPr>
          <w:rFonts w:ascii="Comic Sans MS" w:eastAsia="Times New Roman" w:hAnsi="Comic Sans MS" w:cs="Arial"/>
          <w:color w:val="000000"/>
          <w:sz w:val="28"/>
          <w:szCs w:val="28"/>
          <w:u w:val="single"/>
          <w:lang w:eastAsia="es-ES"/>
        </w:rPr>
        <w:t>Modernización e información al ciudadano</w:t>
      </w:r>
      <w:r w:rsidRPr="006B3420">
        <w:rPr>
          <w:rFonts w:ascii="Comic Sans MS" w:eastAsia="Times New Roman" w:hAnsi="Comic Sans MS" w:cs="Arial"/>
          <w:color w:val="000000"/>
          <w:sz w:val="28"/>
          <w:szCs w:val="28"/>
          <w:lang w:eastAsia="es-ES"/>
        </w:rPr>
        <w:t>, facilitando tanto los periodos cotizados a lo largo de la vida laboral, como el importe de las cotizaciones efectivamente realizadas.</w:t>
      </w:r>
    </w:p>
    <w:p w14:paraId="1F023174"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8. </w:t>
      </w:r>
      <w:r w:rsidRPr="006B3420">
        <w:rPr>
          <w:rFonts w:ascii="Comic Sans MS" w:eastAsia="Times New Roman" w:hAnsi="Comic Sans MS" w:cs="Arial"/>
          <w:color w:val="000000"/>
          <w:sz w:val="28"/>
          <w:szCs w:val="28"/>
          <w:u w:val="single"/>
          <w:lang w:eastAsia="es-ES"/>
        </w:rPr>
        <w:t>Gestión del sistema mejorada</w:t>
      </w:r>
      <w:r w:rsidRPr="006B3420">
        <w:rPr>
          <w:rFonts w:ascii="Comic Sans MS" w:eastAsia="Times New Roman" w:hAnsi="Comic Sans MS" w:cs="Arial"/>
          <w:color w:val="000000"/>
          <w:sz w:val="28"/>
          <w:szCs w:val="28"/>
          <w:lang w:eastAsia="es-ES"/>
        </w:rPr>
        <w:t>, que incluye la defensa de una coordinación más estrecha entre el sistema de prestaciones de la Seguridad Social y los sistemas asistenciales autonómicos, y la evaluación de criterios adecuados y claros para el aplazamiento y fraccionamiento del pago de las deudas con la Seguridad Social en supuestos de dificultades.</w:t>
      </w:r>
    </w:p>
    <w:p w14:paraId="322FFF17"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9. Completar el proceso de </w:t>
      </w:r>
      <w:r w:rsidRPr="006B3420">
        <w:rPr>
          <w:rFonts w:ascii="Comic Sans MS" w:eastAsia="Times New Roman" w:hAnsi="Comic Sans MS" w:cs="Arial"/>
          <w:color w:val="000000"/>
          <w:sz w:val="28"/>
          <w:szCs w:val="28"/>
          <w:u w:val="single"/>
          <w:lang w:eastAsia="es-ES"/>
        </w:rPr>
        <w:t>modernización y transparencia en el funcionamiento de las mutuas</w:t>
      </w:r>
      <w:r w:rsidRPr="006B3420">
        <w:rPr>
          <w:rFonts w:ascii="Comic Sans MS" w:eastAsia="Times New Roman" w:hAnsi="Comic Sans MS" w:cs="Arial"/>
          <w:color w:val="000000"/>
          <w:sz w:val="28"/>
          <w:szCs w:val="28"/>
          <w:lang w:eastAsia="es-ES"/>
        </w:rPr>
        <w:t> colaboradoras con la Seguridad Social.</w:t>
      </w:r>
    </w:p>
    <w:p w14:paraId="7659E7EC"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10. </w:t>
      </w:r>
      <w:r w:rsidRPr="006B3420">
        <w:rPr>
          <w:rFonts w:ascii="Comic Sans MS" w:eastAsia="Times New Roman" w:hAnsi="Comic Sans MS" w:cs="Arial"/>
          <w:color w:val="000000"/>
          <w:sz w:val="28"/>
          <w:szCs w:val="28"/>
          <w:u w:val="single"/>
          <w:lang w:eastAsia="es-ES"/>
        </w:rPr>
        <w:t>Mejora de la lucha contra el fraude laboral</w:t>
      </w:r>
      <w:r w:rsidRPr="006B3420">
        <w:rPr>
          <w:rFonts w:ascii="Comic Sans MS" w:eastAsia="Times New Roman" w:hAnsi="Comic Sans MS" w:cs="Arial"/>
          <w:color w:val="000000"/>
          <w:sz w:val="28"/>
          <w:szCs w:val="28"/>
          <w:lang w:eastAsia="es-ES"/>
        </w:rPr>
        <w:t>, con el refuerzo de medios materiales y humanos, así como con el endurecimiento del régimen de sanciones a las empresas que no cumplan con sus obligaciones frente a la Seguridad Social.</w:t>
      </w:r>
    </w:p>
    <w:p w14:paraId="72234F61"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11. </w:t>
      </w:r>
      <w:r w:rsidRPr="006B3420">
        <w:rPr>
          <w:rFonts w:ascii="Comic Sans MS" w:eastAsia="Times New Roman" w:hAnsi="Comic Sans MS" w:cs="Arial"/>
          <w:color w:val="000000"/>
          <w:sz w:val="28"/>
          <w:szCs w:val="28"/>
          <w:u w:val="single"/>
          <w:lang w:eastAsia="es-ES"/>
        </w:rPr>
        <w:t xml:space="preserve">Reforzar la </w:t>
      </w:r>
      <w:proofErr w:type="spellStart"/>
      <w:r w:rsidRPr="006B3420">
        <w:rPr>
          <w:rFonts w:ascii="Comic Sans MS" w:eastAsia="Times New Roman" w:hAnsi="Comic Sans MS" w:cs="Arial"/>
          <w:color w:val="000000"/>
          <w:sz w:val="28"/>
          <w:szCs w:val="28"/>
          <w:u w:val="single"/>
          <w:lang w:eastAsia="es-ES"/>
        </w:rPr>
        <w:t>contributividad</w:t>
      </w:r>
      <w:proofErr w:type="spellEnd"/>
      <w:r w:rsidRPr="006B3420">
        <w:rPr>
          <w:rFonts w:ascii="Comic Sans MS" w:eastAsia="Times New Roman" w:hAnsi="Comic Sans MS" w:cs="Arial"/>
          <w:color w:val="000000"/>
          <w:sz w:val="28"/>
          <w:szCs w:val="28"/>
          <w:lang w:eastAsia="es-ES"/>
        </w:rPr>
        <w:t> -relación entre lo cotizado y la prestación recibida-, pero con mejora de las pensiones más bajas y sin agrandar la brecha de género, y valorar la posibilidad de que en los casos de vidas laborales muy prolongadas se pueda descartar algún año concreto del periodo de cálculo o escoger el tramo de la carrera de cotización sobre el que calcular la pensión.</w:t>
      </w:r>
    </w:p>
    <w:p w14:paraId="4FA925D0"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12. </w:t>
      </w:r>
      <w:r w:rsidRPr="006B3420">
        <w:rPr>
          <w:rFonts w:ascii="Comic Sans MS" w:eastAsia="Times New Roman" w:hAnsi="Comic Sans MS" w:cs="Arial"/>
          <w:color w:val="000000"/>
          <w:sz w:val="28"/>
          <w:szCs w:val="28"/>
          <w:u w:val="single"/>
          <w:lang w:eastAsia="es-ES"/>
        </w:rPr>
        <w:t>Aproximación de la edad de salida efectiva del mercado de trabajo a la edad legal de jubilación</w:t>
      </w:r>
      <w:r w:rsidRPr="006B3420">
        <w:rPr>
          <w:rFonts w:ascii="Comic Sans MS" w:eastAsia="Times New Roman" w:hAnsi="Comic Sans MS" w:cs="Arial"/>
          <w:color w:val="000000"/>
          <w:sz w:val="28"/>
          <w:szCs w:val="28"/>
          <w:lang w:eastAsia="es-ES"/>
        </w:rPr>
        <w:t>, fomentando la permanencia en activo, incentivando la prolongación voluntaria de la vida laboral y evitando que la jubilación anticipada sea una forma de regulación de empleo. Se da al Gobierno tres meses para que plantee una respuesta a las jubilaciones anticipadas en las que la aplicación de coeficientes reductores provoca inequidad.</w:t>
      </w:r>
    </w:p>
    <w:p w14:paraId="271C73DB"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13. </w:t>
      </w:r>
      <w:r w:rsidRPr="006B3420">
        <w:rPr>
          <w:rFonts w:ascii="Comic Sans MS" w:eastAsia="Times New Roman" w:hAnsi="Comic Sans MS" w:cs="Arial"/>
          <w:color w:val="000000"/>
          <w:sz w:val="28"/>
          <w:szCs w:val="28"/>
          <w:u w:val="single"/>
          <w:lang w:eastAsia="es-ES"/>
        </w:rPr>
        <w:t>Reformulación integral de las prestaciones de viudedad y orfandad</w:t>
      </w:r>
      <w:r w:rsidRPr="006B3420">
        <w:rPr>
          <w:rFonts w:ascii="Comic Sans MS" w:eastAsia="Times New Roman" w:hAnsi="Comic Sans MS" w:cs="Arial"/>
          <w:color w:val="000000"/>
          <w:sz w:val="28"/>
          <w:szCs w:val="28"/>
          <w:lang w:eastAsia="es-ES"/>
        </w:rPr>
        <w:t> para mejorar su cuantía, para dirigirla a personas de 65 o más años cuya pensión constituye su principal fuente de ingresos y para elevar hasta los 25 años la edad de los beneficiarios de la prestación por orfandad.</w:t>
      </w:r>
    </w:p>
    <w:p w14:paraId="0995637E"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14. </w:t>
      </w:r>
      <w:r w:rsidRPr="006B3420">
        <w:rPr>
          <w:rFonts w:ascii="Comic Sans MS" w:eastAsia="Times New Roman" w:hAnsi="Comic Sans MS" w:cs="Arial"/>
          <w:color w:val="000000"/>
          <w:sz w:val="28"/>
          <w:szCs w:val="28"/>
          <w:u w:val="single"/>
          <w:lang w:eastAsia="es-ES"/>
        </w:rPr>
        <w:t>Garantía de suficiencia</w:t>
      </w:r>
      <w:r w:rsidRPr="006B3420">
        <w:rPr>
          <w:rFonts w:ascii="Comic Sans MS" w:eastAsia="Times New Roman" w:hAnsi="Comic Sans MS" w:cs="Arial"/>
          <w:color w:val="000000"/>
          <w:sz w:val="28"/>
          <w:szCs w:val="28"/>
          <w:lang w:eastAsia="es-ES"/>
        </w:rPr>
        <w:t>, para lo que pide establecer como posible referencia la tasa de sustitución que relaciona la pensión media del sistema con el salario medio de los trabajadores ocupados y un ámbito territorial de medición comparada que podrían ser los países más avanzados de la Unión Europea.</w:t>
      </w:r>
    </w:p>
    <w:p w14:paraId="43167E76"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15. Dentro de los sistemas complementarios se apuesta por </w:t>
      </w:r>
      <w:r w:rsidRPr="006B3420">
        <w:rPr>
          <w:rFonts w:ascii="Comic Sans MS" w:eastAsia="Times New Roman" w:hAnsi="Comic Sans MS" w:cs="Arial"/>
          <w:color w:val="000000"/>
          <w:sz w:val="28"/>
          <w:szCs w:val="28"/>
          <w:u w:val="single"/>
          <w:lang w:eastAsia="es-ES"/>
        </w:rPr>
        <w:t>incentivar los planes de pensiones de empleo</w:t>
      </w:r>
      <w:r w:rsidRPr="006B3420">
        <w:rPr>
          <w:rFonts w:ascii="Comic Sans MS" w:eastAsia="Times New Roman" w:hAnsi="Comic Sans MS" w:cs="Arial"/>
          <w:color w:val="000000"/>
          <w:sz w:val="28"/>
          <w:szCs w:val="28"/>
          <w:lang w:eastAsia="es-ES"/>
        </w:rPr>
        <w:t> surgidos de la negociación colectiva (promovidos por la empresa en beneficio de sus empleados) y gestionados prioritariamente sin ánimo de lucro.</w:t>
      </w:r>
    </w:p>
    <w:p w14:paraId="50FE5CB8"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16. Para </w:t>
      </w:r>
      <w:r w:rsidRPr="006B3420">
        <w:rPr>
          <w:rFonts w:ascii="Comic Sans MS" w:eastAsia="Times New Roman" w:hAnsi="Comic Sans MS" w:cs="Arial"/>
          <w:color w:val="000000"/>
          <w:sz w:val="28"/>
          <w:szCs w:val="28"/>
          <w:u w:val="single"/>
          <w:lang w:eastAsia="es-ES"/>
        </w:rPr>
        <w:t>corregir la brecha de género en pensiones</w:t>
      </w:r>
      <w:r w:rsidRPr="006B3420">
        <w:rPr>
          <w:rFonts w:ascii="Comic Sans MS" w:eastAsia="Times New Roman" w:hAnsi="Comic Sans MS" w:cs="Arial"/>
          <w:color w:val="000000"/>
          <w:sz w:val="28"/>
          <w:szCs w:val="28"/>
          <w:lang w:eastAsia="es-ES"/>
        </w:rPr>
        <w:t> apela a la igualdad retributiva, a corregir lagunas de cotización involuntarias o a evitar discriminación en el cálculo de la pensión en el caso del empleo parcial, desarrollado principalmente por mujeres y no por libre elección.</w:t>
      </w:r>
    </w:p>
    <w:p w14:paraId="4937CF3E"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17. En relación con los jóvenes reclama políticas que faciliten la transición del sistema educativo al mercado de trabajo y </w:t>
      </w:r>
      <w:r w:rsidRPr="006B3420">
        <w:rPr>
          <w:rFonts w:ascii="Comic Sans MS" w:eastAsia="Times New Roman" w:hAnsi="Comic Sans MS" w:cs="Arial"/>
          <w:color w:val="000000"/>
          <w:sz w:val="28"/>
          <w:szCs w:val="28"/>
          <w:u w:val="single"/>
          <w:lang w:eastAsia="es-ES"/>
        </w:rPr>
        <w:t>combatir la precariedad</w:t>
      </w:r>
      <w:r w:rsidRPr="006B3420">
        <w:rPr>
          <w:rFonts w:ascii="Comic Sans MS" w:eastAsia="Times New Roman" w:hAnsi="Comic Sans MS" w:cs="Arial"/>
          <w:color w:val="000000"/>
          <w:sz w:val="28"/>
          <w:szCs w:val="28"/>
          <w:lang w:eastAsia="es-ES"/>
        </w:rPr>
        <w:t> derivada de la alta temporalidad, parcialidad, rotación o subempleo, que impactan negativamente en sus pensiones futuras.</w:t>
      </w:r>
    </w:p>
    <w:p w14:paraId="7D16538A"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18. </w:t>
      </w:r>
      <w:r w:rsidRPr="006B3420">
        <w:rPr>
          <w:rFonts w:ascii="Comic Sans MS" w:eastAsia="Times New Roman" w:hAnsi="Comic Sans MS" w:cs="Arial"/>
          <w:color w:val="000000"/>
          <w:sz w:val="28"/>
          <w:szCs w:val="28"/>
          <w:u w:val="single"/>
          <w:lang w:eastAsia="es-ES"/>
        </w:rPr>
        <w:t>Favorecer el acceso de las personas con discapacidad a un empleo digno, suficiente y de calidad,</w:t>
      </w:r>
      <w:r w:rsidRPr="006B3420">
        <w:rPr>
          <w:rFonts w:ascii="Comic Sans MS" w:eastAsia="Times New Roman" w:hAnsi="Comic Sans MS" w:cs="Arial"/>
          <w:color w:val="000000"/>
          <w:sz w:val="28"/>
          <w:szCs w:val="28"/>
          <w:lang w:eastAsia="es-ES"/>
        </w:rPr>
        <w:t> además de mejorar su protección social.</w:t>
      </w:r>
    </w:p>
    <w:p w14:paraId="5C8FC30D"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19. </w:t>
      </w:r>
      <w:r w:rsidRPr="006B3420">
        <w:rPr>
          <w:rFonts w:ascii="Comic Sans MS" w:eastAsia="Times New Roman" w:hAnsi="Comic Sans MS" w:cs="Arial"/>
          <w:color w:val="000000"/>
          <w:sz w:val="28"/>
          <w:szCs w:val="28"/>
          <w:u w:val="single"/>
          <w:lang w:eastAsia="es-ES"/>
        </w:rPr>
        <w:t>Facilitar la gestión de los trámites de contratación, afiliación e integración</w:t>
      </w:r>
      <w:r w:rsidRPr="006B3420">
        <w:rPr>
          <w:rFonts w:ascii="Comic Sans MS" w:eastAsia="Times New Roman" w:hAnsi="Comic Sans MS" w:cs="Arial"/>
          <w:color w:val="000000"/>
          <w:sz w:val="28"/>
          <w:szCs w:val="28"/>
          <w:lang w:eastAsia="es-ES"/>
        </w:rPr>
        <w:t> en el sistema de las personas migrantes y, en particular, de los procesos de gestión de autorizaciones de residencia y trabajo de las personas extranjeras menores de edad no acompañadas, con el fin de favorecer su incorporación plena al mercado laboral.</w:t>
      </w:r>
    </w:p>
    <w:p w14:paraId="123AB58C"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20. </w:t>
      </w:r>
      <w:r w:rsidRPr="006B3420">
        <w:rPr>
          <w:rFonts w:ascii="Comic Sans MS" w:eastAsia="Times New Roman" w:hAnsi="Comic Sans MS" w:cs="Arial"/>
          <w:color w:val="000000"/>
          <w:sz w:val="28"/>
          <w:szCs w:val="28"/>
          <w:u w:val="single"/>
          <w:lang w:eastAsia="es-ES"/>
        </w:rPr>
        <w:t xml:space="preserve">Evitar la informalidad o la </w:t>
      </w:r>
      <w:proofErr w:type="spellStart"/>
      <w:r w:rsidRPr="006B3420">
        <w:rPr>
          <w:rFonts w:ascii="Comic Sans MS" w:eastAsia="Times New Roman" w:hAnsi="Comic Sans MS" w:cs="Arial"/>
          <w:color w:val="000000"/>
          <w:sz w:val="28"/>
          <w:szCs w:val="28"/>
          <w:u w:val="single"/>
          <w:lang w:eastAsia="es-ES"/>
        </w:rPr>
        <w:t>infracotización</w:t>
      </w:r>
      <w:proofErr w:type="spellEnd"/>
      <w:r w:rsidRPr="006B3420">
        <w:rPr>
          <w:rFonts w:ascii="Comic Sans MS" w:eastAsia="Times New Roman" w:hAnsi="Comic Sans MS" w:cs="Arial"/>
          <w:color w:val="000000"/>
          <w:sz w:val="28"/>
          <w:szCs w:val="28"/>
          <w:lang w:eastAsia="es-ES"/>
        </w:rPr>
        <w:t> en las actividades desarrolladas a través de plataformas digitales y luchar con el recurso a la figura del falso autónomo. Buscar mecanismos para completar la financiación de la Seguridad Social, más allá de las cotizaciones sociales, en una economía en la que la innovación tecnológica no implica una mayor creación de empleo («impuesto al robot»).</w:t>
      </w:r>
    </w:p>
    <w:p w14:paraId="71537DF2" w14:textId="77777777" w:rsidR="00D805D3" w:rsidRPr="006B3420" w:rsidRDefault="00D805D3" w:rsidP="00D805D3">
      <w:pPr>
        <w:spacing w:after="100" w:line="240" w:lineRule="auto"/>
        <w:jc w:val="both"/>
        <w:rPr>
          <w:rFonts w:ascii="Comic Sans MS" w:eastAsia="Times New Roman" w:hAnsi="Comic Sans MS" w:cs="Arial"/>
          <w:color w:val="000000"/>
          <w:sz w:val="28"/>
          <w:szCs w:val="28"/>
          <w:lang w:eastAsia="es-ES"/>
        </w:rPr>
      </w:pPr>
      <w:r w:rsidRPr="006B3420">
        <w:rPr>
          <w:rFonts w:ascii="Comic Sans MS" w:eastAsia="Times New Roman" w:hAnsi="Comic Sans MS" w:cs="Arial"/>
          <w:color w:val="000000"/>
          <w:sz w:val="28"/>
          <w:szCs w:val="28"/>
          <w:lang w:eastAsia="es-ES"/>
        </w:rPr>
        <w:t>21. </w:t>
      </w:r>
      <w:r w:rsidRPr="006B3420">
        <w:rPr>
          <w:rFonts w:ascii="Comic Sans MS" w:eastAsia="Times New Roman" w:hAnsi="Comic Sans MS" w:cs="Arial"/>
          <w:color w:val="000000"/>
          <w:sz w:val="28"/>
          <w:szCs w:val="28"/>
          <w:u w:val="single"/>
          <w:lang w:eastAsia="es-ES"/>
        </w:rPr>
        <w:t>Mantener para la Seguridad Social un tratamiento presupuestario propio</w:t>
      </w:r>
      <w:r w:rsidRPr="006B3420">
        <w:rPr>
          <w:rFonts w:ascii="Comic Sans MS" w:eastAsia="Times New Roman" w:hAnsi="Comic Sans MS" w:cs="Arial"/>
          <w:color w:val="000000"/>
          <w:sz w:val="28"/>
          <w:szCs w:val="28"/>
          <w:lang w:eastAsia="es-ES"/>
        </w:rPr>
        <w:t>, mantener la colaboración fluida de la comisión del Pacto de Toledo con entidades públicas y organismos autónomos para poder desempeñar sus tareas de seguimiento, y revisar las recomendaciones transcurridos al menos cinco años desde su aprobación.</w:t>
      </w:r>
    </w:p>
    <w:sectPr w:rsidR="00D805D3" w:rsidRPr="006B3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D3"/>
    <w:rsid w:val="006B3420"/>
    <w:rsid w:val="00D80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CAE6"/>
  <w15:chartTrackingRefBased/>
  <w15:docId w15:val="{35C36DF3-34D3-490A-8669-ED0E7458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1096</Words>
  <Characters>6034</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2020-11-05T09:48:00Z</dcterms:created>
  <dcterms:modified xsi:type="dcterms:W3CDTF">2020-11-06T18:32:00Z</dcterms:modified>
</cp:coreProperties>
</file>