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2CF" w:rsidRPr="00EB1F0C" w:rsidRDefault="008342CF" w:rsidP="008342CF">
      <w:pPr>
        <w:spacing w:after="750" w:line="1050" w:lineRule="atLeast"/>
        <w:jc w:val="center"/>
        <w:textAlignment w:val="baseline"/>
        <w:outlineLvl w:val="0"/>
        <w:rPr>
          <w:rFonts w:ascii="Comic Sans MS" w:eastAsia="Times New Roman" w:hAnsi="Comic Sans MS" w:cs="Times New Roman"/>
          <w:b/>
          <w:bCs/>
          <w:caps/>
          <w:color w:val="1A1A1A"/>
          <w:spacing w:val="-15"/>
          <w:kern w:val="36"/>
          <w:sz w:val="48"/>
          <w:szCs w:val="48"/>
          <w:lang w:eastAsia="es-ES"/>
        </w:rPr>
      </w:pPr>
      <w:r w:rsidRPr="00EB1F0C">
        <w:rPr>
          <w:rFonts w:ascii="Comic Sans MS" w:eastAsia="Times New Roman" w:hAnsi="Comic Sans MS" w:cs="Times New Roman"/>
          <w:b/>
          <w:bCs/>
          <w:caps/>
          <w:color w:val="1A1A1A"/>
          <w:spacing w:val="-15"/>
          <w:kern w:val="36"/>
          <w:sz w:val="48"/>
          <w:szCs w:val="48"/>
          <w:lang w:eastAsia="es-ES"/>
        </w:rPr>
        <w:t>El Gobierno acelera la anulación de ERTE por abuso de las empresas</w:t>
      </w:r>
    </w:p>
    <w:p w:rsidR="008342CF" w:rsidRPr="00EB1F0C" w:rsidRDefault="008342CF" w:rsidP="008342CF">
      <w:pPr>
        <w:spacing w:after="750" w:line="345" w:lineRule="atLeast"/>
        <w:jc w:val="center"/>
        <w:textAlignment w:val="baseline"/>
        <w:outlineLvl w:val="1"/>
        <w:rPr>
          <w:rFonts w:ascii="Arial" w:eastAsia="Times New Roman" w:hAnsi="Arial" w:cs="Arial"/>
          <w:color w:val="1A1A1A"/>
          <w:sz w:val="28"/>
          <w:szCs w:val="28"/>
          <w:lang w:eastAsia="es-ES"/>
        </w:rPr>
      </w:pPr>
      <w:r w:rsidRPr="00EB1F0C">
        <w:rPr>
          <w:rFonts w:ascii="Arial" w:eastAsia="Times New Roman" w:hAnsi="Arial" w:cs="Arial"/>
          <w:color w:val="1A1A1A"/>
          <w:sz w:val="28"/>
          <w:szCs w:val="28"/>
          <w:lang w:eastAsia="es-ES"/>
        </w:rPr>
        <w:t>Trabajo ha echado para atrás las peticiones de suspensión de empleo de compañías como Óptica 2000 y Financiera El Corte Inglés, y ha puesto la lupa sobre los grupos de 'call centers'</w:t>
      </w:r>
    </w:p>
    <w:p w:rsidR="008342CF" w:rsidRPr="00EB1F0C" w:rsidRDefault="008342CF" w:rsidP="00EB1F0C">
      <w:pPr>
        <w:spacing w:after="0" w:line="435" w:lineRule="atLeast"/>
        <w:jc w:val="both"/>
        <w:textAlignment w:val="baseline"/>
        <w:rPr>
          <w:rFonts w:ascii="Comic Sans MS" w:eastAsia="Times New Roman" w:hAnsi="Comic Sans MS" w:cs="Arial"/>
          <w:color w:val="1A1A1A"/>
          <w:sz w:val="28"/>
          <w:szCs w:val="28"/>
          <w:lang w:eastAsia="es-ES"/>
        </w:rPr>
      </w:pPr>
      <w:r w:rsidRPr="00EB1F0C">
        <w:rPr>
          <w:rFonts w:ascii="Comic Sans MS" w:eastAsia="Times New Roman" w:hAnsi="Comic Sans MS" w:cs="Arial"/>
          <w:color w:val="1A1A1A"/>
          <w:sz w:val="28"/>
          <w:szCs w:val="28"/>
          <w:lang w:eastAsia="es-ES"/>
        </w:rPr>
        <w:t>El Gobierno está endureciendo las aprobaciones de los </w:t>
      </w:r>
      <w:r w:rsidRPr="00EB1F0C">
        <w:rPr>
          <w:rFonts w:ascii="Comic Sans MS" w:eastAsia="Times New Roman" w:hAnsi="Comic Sans MS" w:cs="Arial"/>
          <w:b/>
          <w:bCs/>
          <w:color w:val="1187B8"/>
          <w:sz w:val="28"/>
          <w:szCs w:val="28"/>
          <w:bdr w:val="none" w:sz="0" w:space="0" w:color="auto" w:frame="1"/>
          <w:lang w:eastAsia="es-ES"/>
        </w:rPr>
        <w:t>expedientes de regulación temporal de empleo (ERTE)</w:t>
      </w:r>
      <w:r w:rsidRPr="00EB1F0C">
        <w:rPr>
          <w:rFonts w:ascii="Comic Sans MS" w:eastAsia="Times New Roman" w:hAnsi="Comic Sans MS" w:cs="Arial"/>
          <w:b/>
          <w:bCs/>
          <w:color w:val="1A1A1A"/>
          <w:sz w:val="28"/>
          <w:szCs w:val="28"/>
          <w:bdr w:val="none" w:sz="0" w:space="0" w:color="auto" w:frame="1"/>
          <w:lang w:eastAsia="es-ES"/>
        </w:rPr>
        <w:t> </w:t>
      </w:r>
      <w:r w:rsidRPr="00EB1F0C">
        <w:rPr>
          <w:rFonts w:ascii="Comic Sans MS" w:eastAsia="Times New Roman" w:hAnsi="Comic Sans MS" w:cs="Arial"/>
          <w:color w:val="1A1A1A"/>
          <w:sz w:val="28"/>
          <w:szCs w:val="28"/>
          <w:lang w:eastAsia="es-ES"/>
        </w:rPr>
        <w:t>por causa de fuerza mayor presentados por muchas empresas que están sufriendo el impacto del parón económico derivado del </w:t>
      </w:r>
      <w:r w:rsidRPr="00EB1F0C">
        <w:rPr>
          <w:rFonts w:ascii="Comic Sans MS" w:eastAsia="Times New Roman" w:hAnsi="Comic Sans MS" w:cs="Arial"/>
          <w:b/>
          <w:bCs/>
          <w:color w:val="1A1A1A"/>
          <w:sz w:val="28"/>
          <w:szCs w:val="28"/>
          <w:bdr w:val="none" w:sz="0" w:space="0" w:color="auto" w:frame="1"/>
          <w:lang w:eastAsia="es-ES"/>
        </w:rPr>
        <w:t>Covid-19</w:t>
      </w:r>
      <w:r w:rsidRPr="00EB1F0C">
        <w:rPr>
          <w:rFonts w:ascii="Comic Sans MS" w:eastAsia="Times New Roman" w:hAnsi="Comic Sans MS" w:cs="Arial"/>
          <w:color w:val="1A1A1A"/>
          <w:sz w:val="28"/>
          <w:szCs w:val="28"/>
          <w:lang w:eastAsia="es-ES"/>
        </w:rPr>
        <w:t>. Según fuentes oficiales, el Ministerio de Trabajo ha tumbado los ajustes de empleo presentados por </w:t>
      </w:r>
      <w:r w:rsidRPr="00EB1F0C">
        <w:rPr>
          <w:rFonts w:ascii="Comic Sans MS" w:eastAsia="Times New Roman" w:hAnsi="Comic Sans MS" w:cs="Arial"/>
          <w:b/>
          <w:bCs/>
          <w:color w:val="1187B8"/>
          <w:sz w:val="28"/>
          <w:szCs w:val="28"/>
          <w:lang w:eastAsia="es-ES"/>
        </w:rPr>
        <w:t>compañías como Financiera El Corte Inglés</w:t>
      </w:r>
      <w:r w:rsidRPr="00EB1F0C">
        <w:rPr>
          <w:rFonts w:ascii="Comic Sans MS" w:eastAsia="Times New Roman" w:hAnsi="Comic Sans MS" w:cs="Arial"/>
          <w:b/>
          <w:bCs/>
          <w:color w:val="1A1A1A"/>
          <w:sz w:val="28"/>
          <w:szCs w:val="28"/>
          <w:bdr w:val="none" w:sz="0" w:space="0" w:color="auto" w:frame="1"/>
          <w:lang w:eastAsia="es-ES"/>
        </w:rPr>
        <w:t> y Óptica 2000</w:t>
      </w:r>
      <w:r w:rsidRPr="00EB1F0C">
        <w:rPr>
          <w:rFonts w:ascii="Comic Sans MS" w:eastAsia="Times New Roman" w:hAnsi="Comic Sans MS" w:cs="Arial"/>
          <w:color w:val="1A1A1A"/>
          <w:sz w:val="28"/>
          <w:szCs w:val="28"/>
          <w:lang w:eastAsia="es-ES"/>
        </w:rPr>
        <w:t>, así como ha puesto muchas objeciones a los formalizados por las empresas de atención telefónica.</w:t>
      </w:r>
    </w:p>
    <w:p w:rsidR="008342CF" w:rsidRPr="00EB1F0C" w:rsidRDefault="008342CF" w:rsidP="00EB1F0C">
      <w:pPr>
        <w:spacing w:after="0" w:line="435" w:lineRule="atLeast"/>
        <w:jc w:val="both"/>
        <w:textAlignment w:val="baseline"/>
        <w:rPr>
          <w:rFonts w:ascii="Comic Sans MS" w:eastAsia="Times New Roman" w:hAnsi="Comic Sans MS" w:cs="Arial"/>
          <w:color w:val="1A1A1A"/>
          <w:sz w:val="28"/>
          <w:szCs w:val="28"/>
          <w:lang w:eastAsia="es-ES"/>
        </w:rPr>
      </w:pPr>
      <w:r w:rsidRPr="00EB1F0C">
        <w:rPr>
          <w:rFonts w:ascii="Comic Sans MS" w:eastAsia="Times New Roman" w:hAnsi="Comic Sans MS" w:cs="Arial"/>
          <w:b/>
          <w:bCs/>
          <w:color w:val="1187B8"/>
          <w:sz w:val="28"/>
          <w:szCs w:val="28"/>
          <w:bdr w:val="none" w:sz="0" w:space="0" w:color="auto" w:frame="1"/>
          <w:lang w:eastAsia="es-ES"/>
        </w:rPr>
        <w:t>Yolanda Díaz</w:t>
      </w:r>
      <w:r w:rsidRPr="00EB1F0C">
        <w:rPr>
          <w:rFonts w:ascii="Comic Sans MS" w:eastAsia="Times New Roman" w:hAnsi="Comic Sans MS" w:cs="Arial"/>
          <w:b/>
          <w:bCs/>
          <w:color w:val="1A1A1A"/>
          <w:sz w:val="28"/>
          <w:szCs w:val="28"/>
          <w:bdr w:val="none" w:sz="0" w:space="0" w:color="auto" w:frame="1"/>
          <w:lang w:eastAsia="es-ES"/>
        </w:rPr>
        <w:t>, ministra de Trabajo</w:t>
      </w:r>
      <w:r w:rsidRPr="00EB1F0C">
        <w:rPr>
          <w:rFonts w:ascii="Comic Sans MS" w:eastAsia="Times New Roman" w:hAnsi="Comic Sans MS" w:cs="Arial"/>
          <w:color w:val="1A1A1A"/>
          <w:sz w:val="28"/>
          <w:szCs w:val="28"/>
          <w:lang w:eastAsia="es-ES"/>
        </w:rPr>
        <w:t>, ya advirtió de que el Ejecutivo analizaría con detalles todos los ERTE solicitados por las empresas para evitar que, aprovechando la crisis y el cierre forzoso de muchos negocios, algunas intentaran aprovecharse del mecanismo de protección facilitado por el Gobierno para paliar el daño derivado del coronavirus. Y pese a la avalancha de ERTE —</w:t>
      </w:r>
      <w:r w:rsidRPr="00EB1F0C">
        <w:rPr>
          <w:rFonts w:ascii="Comic Sans MS" w:eastAsia="Times New Roman" w:hAnsi="Comic Sans MS" w:cs="Arial"/>
          <w:b/>
          <w:bCs/>
          <w:color w:val="1A1A1A"/>
          <w:sz w:val="28"/>
          <w:szCs w:val="28"/>
          <w:bdr w:val="none" w:sz="0" w:space="0" w:color="auto" w:frame="1"/>
          <w:lang w:eastAsia="es-ES"/>
        </w:rPr>
        <w:t>se han cursado cerca de 450.000, con 3,10 millones de trabajadores afectados</w:t>
      </w:r>
      <w:r w:rsidRPr="00EB1F0C">
        <w:rPr>
          <w:rFonts w:ascii="Comic Sans MS" w:eastAsia="Times New Roman" w:hAnsi="Comic Sans MS" w:cs="Arial"/>
          <w:color w:val="1A1A1A"/>
          <w:sz w:val="28"/>
          <w:szCs w:val="28"/>
          <w:lang w:eastAsia="es-ES"/>
        </w:rPr>
        <w:t>—, los inspectores se han fijado en los de las plantillas más grandes y en los de los sectores que podrían seguir total o parcialmente con su actividad.</w:t>
      </w:r>
    </w:p>
    <w:p w:rsidR="008342CF" w:rsidRPr="00EB1F0C" w:rsidRDefault="008342CF" w:rsidP="00EB1F0C">
      <w:pPr>
        <w:spacing w:after="0" w:line="420" w:lineRule="atLeast"/>
        <w:jc w:val="both"/>
        <w:textAlignment w:val="baseline"/>
        <w:rPr>
          <w:rFonts w:ascii="Comic Sans MS" w:eastAsia="Times New Roman" w:hAnsi="Comic Sans MS" w:cs="Times New Roman"/>
          <w:b/>
          <w:bCs/>
          <w:color w:val="1187B8"/>
          <w:sz w:val="28"/>
          <w:szCs w:val="28"/>
          <w:lang w:eastAsia="es-ES"/>
        </w:rPr>
      </w:pPr>
      <w:r w:rsidRPr="00EB1F0C">
        <w:rPr>
          <w:rFonts w:ascii="Comic Sans MS" w:eastAsia="Times New Roman" w:hAnsi="Comic Sans MS" w:cs="Arial"/>
          <w:color w:val="1A1A1A"/>
          <w:sz w:val="28"/>
          <w:szCs w:val="28"/>
          <w:lang w:eastAsia="es-ES"/>
        </w:rPr>
        <w:fldChar w:fldCharType="begin"/>
      </w:r>
      <w:r w:rsidRPr="00EB1F0C">
        <w:rPr>
          <w:rFonts w:ascii="Comic Sans MS" w:eastAsia="Times New Roman" w:hAnsi="Comic Sans MS" w:cs="Arial"/>
          <w:color w:val="1A1A1A"/>
          <w:sz w:val="28"/>
          <w:szCs w:val="28"/>
          <w:lang w:eastAsia="es-ES"/>
        </w:rPr>
        <w:instrText xml:space="preserve"> HYPERLINK "https://www.elconfidencial.com/economia/2020-04-08/gobierno-estudia-prorrogar-erte-final-estado-alarma_2539199/" </w:instrText>
      </w:r>
      <w:r w:rsidRPr="00EB1F0C">
        <w:rPr>
          <w:rFonts w:ascii="Comic Sans MS" w:eastAsia="Times New Roman" w:hAnsi="Comic Sans MS" w:cs="Arial"/>
          <w:color w:val="1A1A1A"/>
          <w:sz w:val="28"/>
          <w:szCs w:val="28"/>
          <w:lang w:eastAsia="es-ES"/>
        </w:rPr>
        <w:fldChar w:fldCharType="separate"/>
      </w:r>
    </w:p>
    <w:p w:rsidR="008342CF" w:rsidRPr="00EB1F0C" w:rsidRDefault="008342CF" w:rsidP="00EB1F0C">
      <w:pPr>
        <w:spacing w:after="90" w:line="315" w:lineRule="atLeast"/>
        <w:jc w:val="both"/>
        <w:textAlignment w:val="baseline"/>
        <w:outlineLvl w:val="2"/>
        <w:rPr>
          <w:rFonts w:ascii="Comic Sans MS" w:eastAsia="Times New Roman" w:hAnsi="Comic Sans MS" w:cs="Times New Roman"/>
          <w:b/>
          <w:bCs/>
          <w:color w:val="1A1A1A"/>
          <w:spacing w:val="-15"/>
          <w:sz w:val="28"/>
          <w:szCs w:val="28"/>
          <w:lang w:eastAsia="es-ES"/>
        </w:rPr>
      </w:pPr>
      <w:r w:rsidRPr="00EB1F0C">
        <w:rPr>
          <w:rFonts w:ascii="Comic Sans MS" w:eastAsia="Times New Roman" w:hAnsi="Comic Sans MS" w:cs="Arial"/>
          <w:color w:val="1A1A1A"/>
          <w:spacing w:val="-15"/>
          <w:sz w:val="28"/>
          <w:szCs w:val="28"/>
          <w:lang w:eastAsia="es-ES"/>
        </w:rPr>
        <w:t>El Gobierno estudia prorrogar por sectores los ERTE cuando finalice el estado de alarma</w:t>
      </w:r>
    </w:p>
    <w:p w:rsidR="008342CF" w:rsidRPr="00EB1F0C" w:rsidRDefault="008342CF" w:rsidP="00EB1F0C">
      <w:pPr>
        <w:spacing w:after="0" w:line="240" w:lineRule="atLeast"/>
        <w:jc w:val="both"/>
        <w:textAlignment w:val="baseline"/>
        <w:rPr>
          <w:rFonts w:ascii="Comic Sans MS" w:eastAsia="Times New Roman" w:hAnsi="Comic Sans MS" w:cs="Times New Roman"/>
          <w:color w:val="1A1A1A"/>
          <w:sz w:val="28"/>
          <w:szCs w:val="28"/>
          <w:lang w:eastAsia="es-ES"/>
        </w:rPr>
      </w:pPr>
      <w:r w:rsidRPr="00EB1F0C">
        <w:rPr>
          <w:rFonts w:ascii="Comic Sans MS" w:eastAsia="Times New Roman" w:hAnsi="Comic Sans MS" w:cs="Arial"/>
          <w:color w:val="1A1A1A"/>
          <w:sz w:val="28"/>
          <w:szCs w:val="28"/>
          <w:lang w:eastAsia="es-ES"/>
        </w:rPr>
        <w:t xml:space="preserve">La vuelta a la normalidad </w:t>
      </w:r>
      <w:r w:rsidR="00EB1F0C" w:rsidRPr="00EB1F0C">
        <w:rPr>
          <w:rFonts w:ascii="Comic Sans MS" w:eastAsia="Times New Roman" w:hAnsi="Comic Sans MS" w:cs="Arial"/>
          <w:color w:val="1A1A1A"/>
          <w:sz w:val="28"/>
          <w:szCs w:val="28"/>
          <w:lang w:eastAsia="es-ES"/>
        </w:rPr>
        <w:t>será</w:t>
      </w:r>
      <w:r w:rsidRPr="00EB1F0C">
        <w:rPr>
          <w:rFonts w:ascii="Comic Sans MS" w:eastAsia="Times New Roman" w:hAnsi="Comic Sans MS" w:cs="Arial"/>
          <w:color w:val="1A1A1A"/>
          <w:sz w:val="28"/>
          <w:szCs w:val="28"/>
          <w:lang w:eastAsia="es-ES"/>
        </w:rPr>
        <w:t xml:space="preserve"> lenta y difícil en los sectores más afectados por la crisis sanitaria y económica, por lo que la patronal reclama medidas para garantizar su supervivencia</w:t>
      </w:r>
    </w:p>
    <w:p w:rsidR="008342CF" w:rsidRPr="00EB1F0C" w:rsidRDefault="008342CF" w:rsidP="00EB1F0C">
      <w:pPr>
        <w:spacing w:after="0" w:line="420" w:lineRule="atLeast"/>
        <w:jc w:val="both"/>
        <w:textAlignment w:val="baseline"/>
        <w:rPr>
          <w:rFonts w:ascii="Comic Sans MS" w:eastAsia="Times New Roman" w:hAnsi="Comic Sans MS" w:cs="Arial"/>
          <w:color w:val="1A1A1A"/>
          <w:sz w:val="28"/>
          <w:szCs w:val="28"/>
          <w:lang w:eastAsia="es-ES"/>
        </w:rPr>
      </w:pPr>
      <w:r w:rsidRPr="00EB1F0C">
        <w:rPr>
          <w:rFonts w:ascii="Comic Sans MS" w:eastAsia="Times New Roman" w:hAnsi="Comic Sans MS" w:cs="Arial"/>
          <w:color w:val="1A1A1A"/>
          <w:sz w:val="28"/>
          <w:szCs w:val="28"/>
          <w:lang w:eastAsia="es-ES"/>
        </w:rPr>
        <w:fldChar w:fldCharType="end"/>
      </w:r>
    </w:p>
    <w:p w:rsidR="008342CF" w:rsidRPr="00EB1F0C" w:rsidRDefault="008342CF" w:rsidP="00EB1F0C">
      <w:pPr>
        <w:spacing w:after="0" w:line="435" w:lineRule="atLeast"/>
        <w:jc w:val="both"/>
        <w:textAlignment w:val="baseline"/>
        <w:rPr>
          <w:rFonts w:ascii="Comic Sans MS" w:eastAsia="Times New Roman" w:hAnsi="Comic Sans MS" w:cs="Arial"/>
          <w:color w:val="1A1A1A"/>
          <w:sz w:val="28"/>
          <w:szCs w:val="28"/>
          <w:lang w:eastAsia="es-ES"/>
        </w:rPr>
      </w:pPr>
      <w:r w:rsidRPr="00EB1F0C">
        <w:rPr>
          <w:rFonts w:ascii="Comic Sans MS" w:eastAsia="Times New Roman" w:hAnsi="Comic Sans MS" w:cs="Arial"/>
          <w:color w:val="1A1A1A"/>
          <w:sz w:val="28"/>
          <w:szCs w:val="28"/>
          <w:lang w:eastAsia="es-ES"/>
        </w:rPr>
        <w:t>El primero que rechazó fue el de </w:t>
      </w:r>
      <w:r w:rsidRPr="00EB1F0C">
        <w:rPr>
          <w:rFonts w:ascii="Comic Sans MS" w:eastAsia="Times New Roman" w:hAnsi="Comic Sans MS" w:cs="Arial"/>
          <w:b/>
          <w:bCs/>
          <w:color w:val="1A1A1A"/>
          <w:sz w:val="28"/>
          <w:szCs w:val="28"/>
          <w:bdr w:val="none" w:sz="0" w:space="0" w:color="auto" w:frame="1"/>
          <w:lang w:eastAsia="es-ES"/>
        </w:rPr>
        <w:t>Burger King</w:t>
      </w:r>
      <w:r w:rsidRPr="00EB1F0C">
        <w:rPr>
          <w:rFonts w:ascii="Comic Sans MS" w:eastAsia="Times New Roman" w:hAnsi="Comic Sans MS" w:cs="Arial"/>
          <w:color w:val="1A1A1A"/>
          <w:sz w:val="28"/>
          <w:szCs w:val="28"/>
          <w:lang w:eastAsia="es-ES"/>
        </w:rPr>
        <w:t>, que fue de los primeros grupos en acogerse a este sistema para ahorrarse el pago de las nóminas y a quien obligó a </w:t>
      </w:r>
      <w:r w:rsidRPr="00EB1F0C">
        <w:rPr>
          <w:rFonts w:ascii="Comic Sans MS" w:eastAsia="Times New Roman" w:hAnsi="Comic Sans MS" w:cs="Arial"/>
          <w:b/>
          <w:bCs/>
          <w:color w:val="1187B8"/>
          <w:sz w:val="28"/>
          <w:szCs w:val="28"/>
          <w:bdr w:val="none" w:sz="0" w:space="0" w:color="auto" w:frame="1"/>
          <w:lang w:eastAsia="es-ES"/>
        </w:rPr>
        <w:t>reintegrar a 1.700 personas.</w:t>
      </w:r>
      <w:r w:rsidRPr="00EB1F0C">
        <w:rPr>
          <w:rFonts w:ascii="Comic Sans MS" w:eastAsia="Times New Roman" w:hAnsi="Comic Sans MS" w:cs="Arial"/>
          <w:color w:val="1A1A1A"/>
          <w:sz w:val="28"/>
          <w:szCs w:val="28"/>
          <w:lang w:eastAsia="es-ES"/>
        </w:rPr>
        <w:t> Ahora, según fuentes oficiales, Trabajo ha echado para atrás el ERTE de </w:t>
      </w:r>
      <w:r w:rsidRPr="00EB1F0C">
        <w:rPr>
          <w:rFonts w:ascii="Comic Sans MS" w:eastAsia="Times New Roman" w:hAnsi="Comic Sans MS" w:cs="Arial"/>
          <w:b/>
          <w:bCs/>
          <w:color w:val="1A1A1A"/>
          <w:sz w:val="28"/>
          <w:szCs w:val="28"/>
          <w:bdr w:val="none" w:sz="0" w:space="0" w:color="auto" w:frame="1"/>
          <w:lang w:eastAsia="es-ES"/>
        </w:rPr>
        <w:t>Óptica 2000</w:t>
      </w:r>
      <w:r w:rsidRPr="00EB1F0C">
        <w:rPr>
          <w:rFonts w:ascii="Comic Sans MS" w:eastAsia="Times New Roman" w:hAnsi="Comic Sans MS" w:cs="Arial"/>
          <w:color w:val="1A1A1A"/>
          <w:sz w:val="28"/>
          <w:szCs w:val="28"/>
          <w:lang w:eastAsia="es-ES"/>
        </w:rPr>
        <w:t xml:space="preserve">, la cadena de ópticas que hasta hace un año era propiedad de El Corte Inglés y que fue comprada por el grupo holandés </w:t>
      </w:r>
      <w:r w:rsidR="00EB1F0C" w:rsidRPr="00EB1F0C">
        <w:rPr>
          <w:rFonts w:ascii="Comic Sans MS" w:eastAsia="Times New Roman" w:hAnsi="Comic Sans MS" w:cs="Arial"/>
          <w:color w:val="1A1A1A"/>
          <w:sz w:val="28"/>
          <w:szCs w:val="28"/>
          <w:lang w:eastAsia="es-ES"/>
        </w:rPr>
        <w:t>Grand Visión</w:t>
      </w:r>
      <w:r w:rsidRPr="00EB1F0C">
        <w:rPr>
          <w:rFonts w:ascii="Comic Sans MS" w:eastAsia="Times New Roman" w:hAnsi="Comic Sans MS" w:cs="Arial"/>
          <w:color w:val="1A1A1A"/>
          <w:sz w:val="28"/>
          <w:szCs w:val="28"/>
          <w:lang w:eastAsia="es-ES"/>
        </w:rPr>
        <w:t xml:space="preserve"> por cerca de 85 millones de euros. La plantilla asciende a unas </w:t>
      </w:r>
      <w:r w:rsidRPr="00EB1F0C">
        <w:rPr>
          <w:rFonts w:ascii="Comic Sans MS" w:eastAsia="Times New Roman" w:hAnsi="Comic Sans MS" w:cs="Arial"/>
          <w:b/>
          <w:bCs/>
          <w:color w:val="1A1A1A"/>
          <w:sz w:val="28"/>
          <w:szCs w:val="28"/>
          <w:bdr w:val="none" w:sz="0" w:space="0" w:color="auto" w:frame="1"/>
          <w:lang w:eastAsia="es-ES"/>
        </w:rPr>
        <w:t>800 personas,</w:t>
      </w:r>
      <w:r w:rsidRPr="00EB1F0C">
        <w:rPr>
          <w:rFonts w:ascii="Comic Sans MS" w:eastAsia="Times New Roman" w:hAnsi="Comic Sans MS" w:cs="Arial"/>
          <w:color w:val="1A1A1A"/>
          <w:sz w:val="28"/>
          <w:szCs w:val="28"/>
          <w:lang w:eastAsia="es-ES"/>
        </w:rPr>
        <w:t> repartidas entre los servicios centrales y las 106 tiendas disponibles.</w:t>
      </w:r>
    </w:p>
    <w:p w:rsidR="008342CF" w:rsidRPr="00EB1F0C" w:rsidRDefault="008342CF" w:rsidP="00EB1F0C">
      <w:pPr>
        <w:spacing w:after="0" w:line="435" w:lineRule="atLeast"/>
        <w:jc w:val="both"/>
        <w:textAlignment w:val="baseline"/>
        <w:rPr>
          <w:rFonts w:ascii="Comic Sans MS" w:eastAsia="Times New Roman" w:hAnsi="Comic Sans MS" w:cs="Arial"/>
          <w:color w:val="1A1A1A"/>
          <w:sz w:val="28"/>
          <w:szCs w:val="28"/>
          <w:lang w:eastAsia="es-ES"/>
        </w:rPr>
      </w:pPr>
      <w:r w:rsidRPr="00EB1F0C">
        <w:rPr>
          <w:rFonts w:ascii="Comic Sans MS" w:eastAsia="Times New Roman" w:hAnsi="Comic Sans MS" w:cs="Arial"/>
          <w:color w:val="1A1A1A"/>
          <w:sz w:val="28"/>
          <w:szCs w:val="28"/>
          <w:lang w:eastAsia="es-ES"/>
        </w:rPr>
        <w:t>Tras la negativa gubernamental, que </w:t>
      </w:r>
      <w:r w:rsidRPr="00EB1F0C">
        <w:rPr>
          <w:rFonts w:ascii="Comic Sans MS" w:eastAsia="Times New Roman" w:hAnsi="Comic Sans MS" w:cs="Arial"/>
          <w:b/>
          <w:bCs/>
          <w:color w:val="1A1A1A"/>
          <w:sz w:val="28"/>
          <w:szCs w:val="28"/>
          <w:bdr w:val="none" w:sz="0" w:space="0" w:color="auto" w:frame="1"/>
          <w:lang w:eastAsia="es-ES"/>
        </w:rPr>
        <w:t>autorizó a las ópticas a seguir abiertas</w:t>
      </w:r>
      <w:r w:rsidRPr="00EB1F0C">
        <w:rPr>
          <w:rFonts w:ascii="Comic Sans MS" w:eastAsia="Times New Roman" w:hAnsi="Comic Sans MS" w:cs="Arial"/>
          <w:color w:val="1A1A1A"/>
          <w:sz w:val="28"/>
          <w:szCs w:val="28"/>
          <w:lang w:eastAsia="es-ES"/>
        </w:rPr>
        <w:t>, la compañía de los Países Bajos ha iniciado negociaciones con los sindicatos para aplicar el ajuste de empleo, pero, en lugar de por causa de fuerza mayor, por motivos productivos. Es decir, por cómo afectará el cierre de las tiendas que tiene en centros comerciales a las ventas totales de la cadena en el conjunto del año.</w:t>
      </w:r>
    </w:p>
    <w:p w:rsidR="008342CF" w:rsidRPr="00EB1F0C" w:rsidRDefault="008342CF" w:rsidP="00EB1F0C">
      <w:pPr>
        <w:spacing w:after="0" w:line="435" w:lineRule="atLeast"/>
        <w:jc w:val="both"/>
        <w:textAlignment w:val="baseline"/>
        <w:rPr>
          <w:rFonts w:ascii="Comic Sans MS" w:eastAsia="Times New Roman" w:hAnsi="Comic Sans MS" w:cs="Arial"/>
          <w:color w:val="1A1A1A"/>
          <w:sz w:val="28"/>
          <w:szCs w:val="28"/>
          <w:lang w:eastAsia="es-ES"/>
        </w:rPr>
      </w:pPr>
      <w:r w:rsidRPr="00EB1F0C">
        <w:rPr>
          <w:rFonts w:ascii="Comic Sans MS" w:eastAsia="Times New Roman" w:hAnsi="Comic Sans MS" w:cs="Arial"/>
          <w:color w:val="1A1A1A"/>
          <w:sz w:val="28"/>
          <w:szCs w:val="28"/>
          <w:lang w:eastAsia="es-ES"/>
        </w:rPr>
        <w:t>Algo similar ha ocurrido en Financiera El Corte Inglés, sociedad compartida casi a medias entre el grupo de grandes almacenes y </w:t>
      </w:r>
      <w:r w:rsidRPr="00EB1F0C">
        <w:rPr>
          <w:rFonts w:ascii="Comic Sans MS" w:eastAsia="Times New Roman" w:hAnsi="Comic Sans MS" w:cs="Arial"/>
          <w:b/>
          <w:bCs/>
          <w:color w:val="1187B8"/>
          <w:sz w:val="28"/>
          <w:szCs w:val="28"/>
          <w:bdr w:val="none" w:sz="0" w:space="0" w:color="auto" w:frame="1"/>
          <w:lang w:eastAsia="es-ES"/>
        </w:rPr>
        <w:t>Banco Santander</w:t>
      </w:r>
      <w:r w:rsidRPr="00EB1F0C">
        <w:rPr>
          <w:rFonts w:ascii="Comic Sans MS" w:eastAsia="Times New Roman" w:hAnsi="Comic Sans MS" w:cs="Arial"/>
          <w:color w:val="1A1A1A"/>
          <w:sz w:val="28"/>
          <w:szCs w:val="28"/>
          <w:lang w:eastAsia="es-ES"/>
        </w:rPr>
        <w:t>. Trabajo tampoco ha autorizado el ERTE para los 290 empleados, al considerar que se trata de una actividad permitida, como la del resto de entidades que ofrecen servicios financieros. Esta sociedad obtuvo un </w:t>
      </w:r>
      <w:r w:rsidRPr="00EB1F0C">
        <w:rPr>
          <w:rFonts w:ascii="Comic Sans MS" w:eastAsia="Times New Roman" w:hAnsi="Comic Sans MS" w:cs="Arial"/>
          <w:b/>
          <w:bCs/>
          <w:color w:val="1A1A1A"/>
          <w:sz w:val="28"/>
          <w:szCs w:val="28"/>
          <w:bdr w:val="none" w:sz="0" w:space="0" w:color="auto" w:frame="1"/>
          <w:lang w:eastAsia="es-ES"/>
        </w:rPr>
        <w:t>beneficio de 76 millones de euros en 2019</w:t>
      </w:r>
      <w:r w:rsidRPr="00EB1F0C">
        <w:rPr>
          <w:rFonts w:ascii="Comic Sans MS" w:eastAsia="Times New Roman" w:hAnsi="Comic Sans MS" w:cs="Arial"/>
          <w:color w:val="1A1A1A"/>
          <w:sz w:val="28"/>
          <w:szCs w:val="28"/>
          <w:lang w:eastAsia="es-ES"/>
        </w:rPr>
        <w:t>, un 15% más que en el ejercicio precedente.</w:t>
      </w:r>
    </w:p>
    <w:p w:rsidR="008342CF" w:rsidRPr="00EB1F0C" w:rsidRDefault="008342CF" w:rsidP="00EB1F0C">
      <w:pPr>
        <w:spacing w:after="0" w:line="420" w:lineRule="atLeast"/>
        <w:jc w:val="both"/>
        <w:textAlignment w:val="baseline"/>
        <w:rPr>
          <w:rFonts w:ascii="Comic Sans MS" w:eastAsia="Times New Roman" w:hAnsi="Comic Sans MS" w:cs="Arial"/>
          <w:color w:val="1A1A1A"/>
          <w:sz w:val="28"/>
          <w:szCs w:val="28"/>
          <w:lang w:eastAsia="es-ES"/>
        </w:rPr>
      </w:pPr>
      <w:r w:rsidRPr="00EB1F0C">
        <w:rPr>
          <w:rFonts w:ascii="Comic Sans MS" w:eastAsia="Times New Roman" w:hAnsi="Comic Sans MS" w:cs="Arial"/>
          <w:color w:val="1A1A1A"/>
          <w:sz w:val="28"/>
          <w:szCs w:val="28"/>
          <w:lang w:eastAsia="es-ES"/>
        </w:rPr>
        <w:t>Illa advierte de que aún estamos en una fase dura de combate contra el virus</w:t>
      </w:r>
    </w:p>
    <w:p w:rsidR="008342CF" w:rsidRPr="00EB1F0C" w:rsidRDefault="008342CF" w:rsidP="00EB1F0C">
      <w:pPr>
        <w:spacing w:after="0" w:line="435" w:lineRule="atLeast"/>
        <w:jc w:val="both"/>
        <w:textAlignment w:val="baseline"/>
        <w:rPr>
          <w:rFonts w:ascii="Comic Sans MS" w:eastAsia="Times New Roman" w:hAnsi="Comic Sans MS" w:cs="Arial"/>
          <w:color w:val="1A1A1A"/>
          <w:sz w:val="28"/>
          <w:szCs w:val="28"/>
          <w:lang w:eastAsia="es-ES"/>
        </w:rPr>
      </w:pPr>
      <w:r w:rsidRPr="00EB1F0C">
        <w:rPr>
          <w:rFonts w:ascii="Comic Sans MS" w:eastAsia="Times New Roman" w:hAnsi="Comic Sans MS" w:cs="Arial"/>
          <w:color w:val="1A1A1A"/>
          <w:sz w:val="28"/>
          <w:szCs w:val="28"/>
          <w:lang w:eastAsia="es-ES"/>
        </w:rPr>
        <w:t>Otro de los sectores en los que Trabajo está también poniendo la lupa es el de los centros de atención telefónica La industria de los conocidos como 'call centers' emplea en España a </w:t>
      </w:r>
      <w:r w:rsidRPr="00EB1F0C">
        <w:rPr>
          <w:rFonts w:ascii="Comic Sans MS" w:eastAsia="Times New Roman" w:hAnsi="Comic Sans MS" w:cs="Arial"/>
          <w:b/>
          <w:bCs/>
          <w:color w:val="1A1A1A"/>
          <w:sz w:val="28"/>
          <w:szCs w:val="28"/>
          <w:bdr w:val="none" w:sz="0" w:space="0" w:color="auto" w:frame="1"/>
          <w:lang w:eastAsia="es-ES"/>
        </w:rPr>
        <w:t>cerca de 76.000 personas</w:t>
      </w:r>
      <w:r w:rsidRPr="00EB1F0C">
        <w:rPr>
          <w:rFonts w:ascii="Comic Sans MS" w:eastAsia="Times New Roman" w:hAnsi="Comic Sans MS" w:cs="Arial"/>
          <w:color w:val="1A1A1A"/>
          <w:sz w:val="28"/>
          <w:szCs w:val="28"/>
          <w:lang w:eastAsia="es-ES"/>
        </w:rPr>
        <w:t>, por lo que el Gobierno sabe que es un multiplicador de suspensiones temporales de empleo. Por ello, el Ejecutivo ha analizado con detalle los ERTE presentados por </w:t>
      </w:r>
      <w:r w:rsidRPr="00EB1F0C">
        <w:rPr>
          <w:rFonts w:ascii="Comic Sans MS" w:eastAsia="Times New Roman" w:hAnsi="Comic Sans MS" w:cs="Arial"/>
          <w:b/>
          <w:bCs/>
          <w:color w:val="1A1A1A"/>
          <w:sz w:val="28"/>
          <w:szCs w:val="28"/>
          <w:bdr w:val="none" w:sz="0" w:space="0" w:color="auto" w:frame="1"/>
          <w:lang w:eastAsia="es-ES"/>
        </w:rPr>
        <w:t>Atento </w:t>
      </w:r>
      <w:r w:rsidRPr="00EB1F0C">
        <w:rPr>
          <w:rFonts w:ascii="Comic Sans MS" w:eastAsia="Times New Roman" w:hAnsi="Comic Sans MS" w:cs="Arial"/>
          <w:color w:val="1A1A1A"/>
          <w:sz w:val="28"/>
          <w:szCs w:val="28"/>
          <w:lang w:eastAsia="es-ES"/>
        </w:rPr>
        <w:t>y </w:t>
      </w:r>
      <w:r w:rsidRPr="00EB1F0C">
        <w:rPr>
          <w:rFonts w:ascii="Comic Sans MS" w:eastAsia="Times New Roman" w:hAnsi="Comic Sans MS" w:cs="Arial"/>
          <w:b/>
          <w:bCs/>
          <w:color w:val="1187B8"/>
          <w:sz w:val="28"/>
          <w:szCs w:val="28"/>
          <w:bdr w:val="none" w:sz="0" w:space="0" w:color="auto" w:frame="1"/>
          <w:lang w:eastAsia="es-ES"/>
        </w:rPr>
        <w:t>Konecta</w:t>
      </w:r>
      <w:r w:rsidRPr="00EB1F0C">
        <w:rPr>
          <w:rFonts w:ascii="Comic Sans MS" w:eastAsia="Times New Roman" w:hAnsi="Comic Sans MS" w:cs="Arial"/>
          <w:b/>
          <w:bCs/>
          <w:color w:val="1A1A1A"/>
          <w:sz w:val="28"/>
          <w:szCs w:val="28"/>
          <w:bdr w:val="none" w:sz="0" w:space="0" w:color="auto" w:frame="1"/>
          <w:lang w:eastAsia="es-ES"/>
        </w:rPr>
        <w:t>,</w:t>
      </w:r>
      <w:r w:rsidRPr="00EB1F0C">
        <w:rPr>
          <w:rFonts w:ascii="Comic Sans MS" w:eastAsia="Times New Roman" w:hAnsi="Comic Sans MS" w:cs="Arial"/>
          <w:color w:val="1A1A1A"/>
          <w:sz w:val="28"/>
          <w:szCs w:val="28"/>
          <w:lang w:eastAsia="es-ES"/>
        </w:rPr>
        <w:t> dos de las mayores empresas del sector, propiedad ambas de dos fondos de capital riesgo. En concreto, </w:t>
      </w:r>
      <w:r w:rsidRPr="00EB1F0C">
        <w:rPr>
          <w:rFonts w:ascii="Comic Sans MS" w:eastAsia="Times New Roman" w:hAnsi="Comic Sans MS" w:cs="Arial"/>
          <w:b/>
          <w:bCs/>
          <w:color w:val="1A1A1A"/>
          <w:sz w:val="28"/>
          <w:szCs w:val="28"/>
          <w:bdr w:val="none" w:sz="0" w:space="0" w:color="auto" w:frame="1"/>
          <w:lang w:eastAsia="es-ES"/>
        </w:rPr>
        <w:t>Bain Capital e ICG</w:t>
      </w:r>
      <w:r w:rsidRPr="00EB1F0C">
        <w:rPr>
          <w:rFonts w:ascii="Comic Sans MS" w:eastAsia="Times New Roman" w:hAnsi="Comic Sans MS" w:cs="Arial"/>
          <w:color w:val="1A1A1A"/>
          <w:sz w:val="28"/>
          <w:szCs w:val="28"/>
          <w:lang w:eastAsia="es-ES"/>
        </w:rPr>
        <w:t>, respectivamente, que suelen utilizar estructuras fiscales complejas en el extranjero.</w:t>
      </w:r>
    </w:p>
    <w:p w:rsidR="008342CF" w:rsidRPr="00EB1F0C" w:rsidRDefault="008342CF" w:rsidP="00EB1F0C">
      <w:pPr>
        <w:spacing w:line="435" w:lineRule="atLeast"/>
        <w:jc w:val="both"/>
        <w:textAlignment w:val="baseline"/>
        <w:rPr>
          <w:rFonts w:ascii="Comic Sans MS" w:eastAsia="Times New Roman" w:hAnsi="Comic Sans MS" w:cs="Arial"/>
          <w:color w:val="1A1A1A"/>
          <w:sz w:val="28"/>
          <w:szCs w:val="28"/>
          <w:lang w:eastAsia="es-ES"/>
        </w:rPr>
      </w:pPr>
      <w:r w:rsidRPr="00EB1F0C">
        <w:rPr>
          <w:rFonts w:ascii="Comic Sans MS" w:eastAsia="Times New Roman" w:hAnsi="Comic Sans MS" w:cs="Arial"/>
          <w:color w:val="1A1A1A"/>
          <w:sz w:val="28"/>
          <w:szCs w:val="28"/>
          <w:lang w:eastAsia="es-ES"/>
        </w:rPr>
        <w:t>Ambas sociedades han presentado dos tipos de ERTE: uno por causa de fuerza mayor, que es el que está revisando Trabajo, y </w:t>
      </w:r>
      <w:r w:rsidRPr="00EB1F0C">
        <w:rPr>
          <w:rFonts w:ascii="Comic Sans MS" w:eastAsia="Times New Roman" w:hAnsi="Comic Sans MS" w:cs="Arial"/>
          <w:b/>
          <w:bCs/>
          <w:color w:val="1A1A1A"/>
          <w:sz w:val="28"/>
          <w:szCs w:val="28"/>
          <w:bdr w:val="none" w:sz="0" w:space="0" w:color="auto" w:frame="1"/>
          <w:lang w:eastAsia="es-ES"/>
        </w:rPr>
        <w:t>otro por cuestiones operativas</w:t>
      </w:r>
      <w:r w:rsidRPr="00EB1F0C">
        <w:rPr>
          <w:rFonts w:ascii="Comic Sans MS" w:eastAsia="Times New Roman" w:hAnsi="Comic Sans MS" w:cs="Arial"/>
          <w:color w:val="1A1A1A"/>
          <w:sz w:val="28"/>
          <w:szCs w:val="28"/>
          <w:lang w:eastAsia="es-ES"/>
        </w:rPr>
        <w:t>. En el caso de Atento, cuyos ingresos dependen principalmente de </w:t>
      </w:r>
      <w:r w:rsidRPr="00EB1F0C">
        <w:rPr>
          <w:rFonts w:ascii="Comic Sans MS" w:eastAsia="Times New Roman" w:hAnsi="Comic Sans MS" w:cs="Arial"/>
          <w:b/>
          <w:bCs/>
          <w:color w:val="1187B8"/>
          <w:sz w:val="28"/>
          <w:szCs w:val="28"/>
          <w:bdr w:val="none" w:sz="0" w:space="0" w:color="auto" w:frame="1"/>
          <w:lang w:eastAsia="es-ES"/>
        </w:rPr>
        <w:t>Telefónica</w:t>
      </w:r>
      <w:r w:rsidRPr="00EB1F0C">
        <w:rPr>
          <w:rFonts w:ascii="Comic Sans MS" w:eastAsia="Times New Roman" w:hAnsi="Comic Sans MS" w:cs="Arial"/>
          <w:color w:val="1A1A1A"/>
          <w:sz w:val="28"/>
          <w:szCs w:val="28"/>
          <w:lang w:eastAsia="es-ES"/>
        </w:rPr>
        <w:t>, el segundo quiere extenderse hasta el 31 de diciembre. La compañía, que tiene una plantilla en España de unas 12.000 personas, cotiza en la Bolsa de Nueva York, </w:t>
      </w:r>
      <w:r w:rsidRPr="00EB1F0C">
        <w:rPr>
          <w:rFonts w:ascii="Comic Sans MS" w:eastAsia="Times New Roman" w:hAnsi="Comic Sans MS" w:cs="Arial"/>
          <w:b/>
          <w:bCs/>
          <w:color w:val="1A1A1A"/>
          <w:sz w:val="28"/>
          <w:szCs w:val="28"/>
          <w:bdr w:val="none" w:sz="0" w:space="0" w:color="auto" w:frame="1"/>
          <w:lang w:eastAsia="es-ES"/>
        </w:rPr>
        <w:t>donde se ha hundido hasta mínimos históricos</w:t>
      </w:r>
      <w:r w:rsidRPr="00EB1F0C">
        <w:rPr>
          <w:rFonts w:ascii="Comic Sans MS" w:eastAsia="Times New Roman" w:hAnsi="Comic Sans MS" w:cs="Arial"/>
          <w:color w:val="1A1A1A"/>
          <w:sz w:val="28"/>
          <w:szCs w:val="28"/>
          <w:lang w:eastAsia="es-ES"/>
        </w:rPr>
        <w:t>.</w:t>
      </w:r>
    </w:p>
    <w:p w:rsidR="008342CF" w:rsidRPr="00EB1F0C" w:rsidRDefault="008342CF" w:rsidP="00EB1F0C">
      <w:pPr>
        <w:jc w:val="both"/>
        <w:rPr>
          <w:rFonts w:ascii="Comic Sans MS" w:hAnsi="Comic Sans MS"/>
          <w:sz w:val="28"/>
          <w:szCs w:val="28"/>
        </w:rPr>
      </w:pPr>
    </w:p>
    <w:sectPr w:rsidR="008342CF" w:rsidRPr="00EB1F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68159F"/>
    <w:multiLevelType w:val="multilevel"/>
    <w:tmpl w:val="64601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2CF"/>
    <w:rsid w:val="008342CF"/>
    <w:rsid w:val="00EB1F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25453"/>
  <w15:chartTrackingRefBased/>
  <w15:docId w15:val="{B5893BCB-C85F-46A1-A35C-8310A3840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309670">
      <w:bodyDiv w:val="1"/>
      <w:marLeft w:val="0"/>
      <w:marRight w:val="0"/>
      <w:marTop w:val="0"/>
      <w:marBottom w:val="0"/>
      <w:divBdr>
        <w:top w:val="none" w:sz="0" w:space="0" w:color="auto"/>
        <w:left w:val="none" w:sz="0" w:space="0" w:color="auto"/>
        <w:bottom w:val="none" w:sz="0" w:space="0" w:color="auto"/>
        <w:right w:val="none" w:sz="0" w:space="0" w:color="auto"/>
      </w:divBdr>
      <w:divsChild>
        <w:div w:id="302009792">
          <w:marLeft w:val="0"/>
          <w:marRight w:val="0"/>
          <w:marTop w:val="0"/>
          <w:marBottom w:val="0"/>
          <w:divBdr>
            <w:top w:val="none" w:sz="0" w:space="0" w:color="auto"/>
            <w:left w:val="none" w:sz="0" w:space="0" w:color="auto"/>
            <w:bottom w:val="none" w:sz="0" w:space="0" w:color="auto"/>
            <w:right w:val="none" w:sz="0" w:space="0" w:color="auto"/>
          </w:divBdr>
          <w:divsChild>
            <w:div w:id="1311246784">
              <w:marLeft w:val="0"/>
              <w:marRight w:val="0"/>
              <w:marTop w:val="0"/>
              <w:marBottom w:val="0"/>
              <w:divBdr>
                <w:top w:val="none" w:sz="0" w:space="0" w:color="auto"/>
                <w:left w:val="none" w:sz="0" w:space="0" w:color="auto"/>
                <w:bottom w:val="none" w:sz="0" w:space="0" w:color="auto"/>
                <w:right w:val="none" w:sz="0" w:space="0" w:color="auto"/>
              </w:divBdr>
              <w:divsChild>
                <w:div w:id="1158376594">
                  <w:marLeft w:val="0"/>
                  <w:marRight w:val="0"/>
                  <w:marTop w:val="0"/>
                  <w:marBottom w:val="0"/>
                  <w:divBdr>
                    <w:top w:val="none" w:sz="0" w:space="0" w:color="auto"/>
                    <w:left w:val="none" w:sz="0" w:space="0" w:color="auto"/>
                    <w:bottom w:val="none" w:sz="0" w:space="0" w:color="auto"/>
                    <w:right w:val="none" w:sz="0" w:space="0" w:color="auto"/>
                  </w:divBdr>
                </w:div>
                <w:div w:id="1062677049">
                  <w:marLeft w:val="0"/>
                  <w:marRight w:val="0"/>
                  <w:marTop w:val="0"/>
                  <w:marBottom w:val="0"/>
                  <w:divBdr>
                    <w:top w:val="none" w:sz="0" w:space="0" w:color="auto"/>
                    <w:left w:val="none" w:sz="0" w:space="0" w:color="auto"/>
                    <w:bottom w:val="dotted" w:sz="6" w:space="0" w:color="DDDDDD"/>
                    <w:right w:val="none" w:sz="0" w:space="0" w:color="auto"/>
                  </w:divBdr>
                  <w:divsChild>
                    <w:div w:id="144102302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388185530">
          <w:marLeft w:val="0"/>
          <w:marRight w:val="0"/>
          <w:marTop w:val="0"/>
          <w:marBottom w:val="0"/>
          <w:divBdr>
            <w:top w:val="none" w:sz="0" w:space="0" w:color="auto"/>
            <w:left w:val="none" w:sz="0" w:space="0" w:color="auto"/>
            <w:bottom w:val="none" w:sz="0" w:space="0" w:color="auto"/>
            <w:right w:val="none" w:sz="0" w:space="0" w:color="auto"/>
          </w:divBdr>
          <w:divsChild>
            <w:div w:id="1343967700">
              <w:marLeft w:val="0"/>
              <w:marRight w:val="0"/>
              <w:marTop w:val="0"/>
              <w:marBottom w:val="0"/>
              <w:divBdr>
                <w:top w:val="none" w:sz="0" w:space="0" w:color="auto"/>
                <w:left w:val="none" w:sz="0" w:space="0" w:color="auto"/>
                <w:bottom w:val="none" w:sz="0" w:space="0" w:color="auto"/>
                <w:right w:val="none" w:sz="0" w:space="0" w:color="auto"/>
              </w:divBdr>
              <w:divsChild>
                <w:div w:id="1675262693">
                  <w:marLeft w:val="0"/>
                  <w:marRight w:val="0"/>
                  <w:marTop w:val="0"/>
                  <w:marBottom w:val="0"/>
                  <w:divBdr>
                    <w:top w:val="none" w:sz="0" w:space="0" w:color="auto"/>
                    <w:left w:val="none" w:sz="0" w:space="0" w:color="auto"/>
                    <w:bottom w:val="none" w:sz="0" w:space="0" w:color="auto"/>
                    <w:right w:val="none" w:sz="0" w:space="0" w:color="auto"/>
                  </w:divBdr>
                  <w:divsChild>
                    <w:div w:id="277446411">
                      <w:marLeft w:val="0"/>
                      <w:marRight w:val="0"/>
                      <w:marTop w:val="0"/>
                      <w:marBottom w:val="0"/>
                      <w:divBdr>
                        <w:top w:val="none" w:sz="0" w:space="0" w:color="auto"/>
                        <w:left w:val="none" w:sz="0" w:space="0" w:color="auto"/>
                        <w:bottom w:val="dotted" w:sz="6" w:space="0" w:color="DDDDDD"/>
                        <w:right w:val="none" w:sz="0" w:space="0" w:color="auto"/>
                      </w:divBdr>
                      <w:divsChild>
                        <w:div w:id="1833717696">
                          <w:marLeft w:val="0"/>
                          <w:marRight w:val="0"/>
                          <w:marTop w:val="0"/>
                          <w:marBottom w:val="0"/>
                          <w:divBdr>
                            <w:top w:val="none" w:sz="0" w:space="0" w:color="auto"/>
                            <w:left w:val="none" w:sz="0" w:space="0" w:color="auto"/>
                            <w:bottom w:val="none" w:sz="0" w:space="0" w:color="auto"/>
                            <w:right w:val="none" w:sz="0" w:space="0" w:color="auto"/>
                          </w:divBdr>
                          <w:divsChild>
                            <w:div w:id="1987054431">
                              <w:marLeft w:val="0"/>
                              <w:marRight w:val="0"/>
                              <w:marTop w:val="0"/>
                              <w:marBottom w:val="60"/>
                              <w:divBdr>
                                <w:top w:val="none" w:sz="0" w:space="0" w:color="auto"/>
                                <w:left w:val="none" w:sz="0" w:space="0" w:color="auto"/>
                                <w:bottom w:val="none" w:sz="0" w:space="0" w:color="auto"/>
                                <w:right w:val="none" w:sz="0" w:space="0" w:color="auto"/>
                              </w:divBdr>
                              <w:divsChild>
                                <w:div w:id="1813521732">
                                  <w:marLeft w:val="0"/>
                                  <w:marRight w:val="0"/>
                                  <w:marTop w:val="0"/>
                                  <w:marBottom w:val="75"/>
                                  <w:divBdr>
                                    <w:top w:val="none" w:sz="0" w:space="0" w:color="auto"/>
                                    <w:left w:val="none" w:sz="0" w:space="0" w:color="auto"/>
                                    <w:bottom w:val="none" w:sz="0" w:space="0" w:color="auto"/>
                                    <w:right w:val="none" w:sz="0" w:space="0" w:color="auto"/>
                                  </w:divBdr>
                                </w:div>
                                <w:div w:id="855119700">
                                  <w:marLeft w:val="0"/>
                                  <w:marRight w:val="0"/>
                                  <w:marTop w:val="0"/>
                                  <w:marBottom w:val="75"/>
                                  <w:divBdr>
                                    <w:top w:val="none" w:sz="0" w:space="0" w:color="auto"/>
                                    <w:left w:val="none" w:sz="0" w:space="0" w:color="auto"/>
                                    <w:bottom w:val="none" w:sz="0" w:space="0" w:color="auto"/>
                                    <w:right w:val="none" w:sz="0" w:space="0" w:color="auto"/>
                                  </w:divBdr>
                                </w:div>
                              </w:divsChild>
                            </w:div>
                            <w:div w:id="336812975">
                              <w:marLeft w:val="0"/>
                              <w:marRight w:val="0"/>
                              <w:marTop w:val="0"/>
                              <w:marBottom w:val="0"/>
                              <w:divBdr>
                                <w:top w:val="dotted" w:sz="6" w:space="15" w:color="DDDDDD"/>
                                <w:left w:val="none" w:sz="0" w:space="0" w:color="auto"/>
                                <w:bottom w:val="none" w:sz="0" w:space="15" w:color="auto"/>
                                <w:right w:val="none" w:sz="0" w:space="0" w:color="auto"/>
                              </w:divBdr>
                            </w:div>
                            <w:div w:id="1695886068">
                              <w:marLeft w:val="0"/>
                              <w:marRight w:val="0"/>
                              <w:marTop w:val="0"/>
                              <w:marBottom w:val="0"/>
                              <w:divBdr>
                                <w:top w:val="dotted" w:sz="6" w:space="15" w:color="DDDDDD"/>
                                <w:left w:val="none" w:sz="0" w:space="0" w:color="auto"/>
                                <w:bottom w:val="none" w:sz="0" w:space="15" w:color="auto"/>
                                <w:right w:val="none" w:sz="0" w:space="0" w:color="auto"/>
                              </w:divBdr>
                            </w:div>
                          </w:divsChild>
                        </w:div>
                      </w:divsChild>
                    </w:div>
                  </w:divsChild>
                </w:div>
                <w:div w:id="341929820">
                  <w:marLeft w:val="4320"/>
                  <w:marRight w:val="0"/>
                  <w:marTop w:val="1950"/>
                  <w:marBottom w:val="750"/>
                  <w:divBdr>
                    <w:top w:val="none" w:sz="0" w:space="0" w:color="auto"/>
                    <w:left w:val="none" w:sz="0" w:space="0" w:color="auto"/>
                    <w:bottom w:val="none" w:sz="0" w:space="0" w:color="auto"/>
                    <w:right w:val="none" w:sz="0" w:space="0" w:color="auto"/>
                  </w:divBdr>
                  <w:divsChild>
                    <w:div w:id="7411146">
                      <w:marLeft w:val="0"/>
                      <w:marRight w:val="0"/>
                      <w:marTop w:val="0"/>
                      <w:marBottom w:val="0"/>
                      <w:divBdr>
                        <w:top w:val="none" w:sz="0" w:space="0" w:color="auto"/>
                        <w:left w:val="none" w:sz="0" w:space="0" w:color="auto"/>
                        <w:bottom w:val="none" w:sz="0" w:space="0" w:color="auto"/>
                        <w:right w:val="none" w:sz="0" w:space="0" w:color="auto"/>
                      </w:divBdr>
                      <w:divsChild>
                        <w:div w:id="1616449908">
                          <w:marLeft w:val="0"/>
                          <w:marRight w:val="0"/>
                          <w:marTop w:val="0"/>
                          <w:marBottom w:val="0"/>
                          <w:divBdr>
                            <w:top w:val="none" w:sz="0" w:space="0" w:color="auto"/>
                            <w:left w:val="none" w:sz="0" w:space="0" w:color="auto"/>
                            <w:bottom w:val="none" w:sz="0" w:space="0" w:color="auto"/>
                            <w:right w:val="none" w:sz="0" w:space="0" w:color="auto"/>
                          </w:divBdr>
                        </w:div>
                        <w:div w:id="669334359">
                          <w:marLeft w:val="0"/>
                          <w:marRight w:val="0"/>
                          <w:marTop w:val="0"/>
                          <w:marBottom w:val="0"/>
                          <w:divBdr>
                            <w:top w:val="none" w:sz="0" w:space="0" w:color="auto"/>
                            <w:left w:val="none" w:sz="0" w:space="0" w:color="auto"/>
                            <w:bottom w:val="none" w:sz="0" w:space="0" w:color="auto"/>
                            <w:right w:val="none" w:sz="0" w:space="0" w:color="auto"/>
                          </w:divBdr>
                        </w:div>
                      </w:divsChild>
                    </w:div>
                    <w:div w:id="1806850859">
                      <w:marLeft w:val="0"/>
                      <w:marRight w:val="0"/>
                      <w:marTop w:val="450"/>
                      <w:marBottom w:val="0"/>
                      <w:divBdr>
                        <w:top w:val="none" w:sz="0" w:space="0" w:color="auto"/>
                        <w:left w:val="none" w:sz="0" w:space="0" w:color="auto"/>
                        <w:bottom w:val="none" w:sz="0" w:space="0" w:color="auto"/>
                        <w:right w:val="none" w:sz="0" w:space="0" w:color="auto"/>
                      </w:divBdr>
                    </w:div>
                    <w:div w:id="372539024">
                      <w:marLeft w:val="0"/>
                      <w:marRight w:val="0"/>
                      <w:marTop w:val="0"/>
                      <w:marBottom w:val="0"/>
                      <w:divBdr>
                        <w:top w:val="none" w:sz="0" w:space="2" w:color="auto"/>
                        <w:left w:val="none" w:sz="0" w:space="0" w:color="auto"/>
                        <w:bottom w:val="dotted" w:sz="6" w:space="0" w:color="DDDDDD"/>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655</Words>
  <Characters>3607</Characters>
  <Application>Microsoft Office Word</Application>
  <DocSecurity>0</DocSecurity>
  <Lines>30</Lines>
  <Paragraphs>8</Paragraphs>
  <ScaleCrop>false</ScaleCrop>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2020-04-18T10:11:00Z</dcterms:created>
  <dcterms:modified xsi:type="dcterms:W3CDTF">2020-04-18T10:53:00Z</dcterms:modified>
</cp:coreProperties>
</file>