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87" w:rsidRDefault="00EF4787" w:rsidP="00EF4787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EF478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LA DIRECCIÓN GENERAL DE TRABAJO EMITE UN CRITERIO ACLARANDO LA CLÁUSULA DE SALVAGUARDA DEL EMPLEO COMO REQUISITOS DE LOS ERTES</w:t>
      </w:r>
    </w:p>
    <w:p w:rsidR="00EF4787" w:rsidRPr="00EF4787" w:rsidRDefault="00EF4787" w:rsidP="00EF4787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F4787" w:rsidRPr="00D41E9C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La Dirección General de Trabajo emite un criterio, a petición de la CEOE, aclarando su interpretación de la cláusula de salvaguarda del empleo en los </w:t>
      </w:r>
      <w:r w:rsidR="00D41E9C"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ERTEs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junto con otros aspectos de interés. El criterio se emite con un mero carácter informativo y no vinculante, dentro de las competencias interpretativas de este Centro Directivo.</w:t>
      </w:r>
    </w:p>
    <w:p w:rsidR="00EF4787" w:rsidRPr="00D41E9C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Disposición Adicional 6ª del Real Decreto-ley 8/2020, de 17-3, contiene la polémica cláusula de «Salvaguarda del empleo», que ha venido siendo objeto de dudas por laboralistas y a la hora de aplicar ERTES ante el impacto del coronavirus COVID-19 y que se presenta como una posible </w:t>
      </w:r>
      <w:r w:rsidRPr="00D41E9C">
        <w:rPr>
          <w:rFonts w:ascii="Comic Sans MS" w:eastAsia="Times New Roman" w:hAnsi="Comic Sans MS" w:cs="Arial"/>
          <w:color w:val="555555"/>
          <w:sz w:val="28"/>
          <w:szCs w:val="28"/>
          <w:lang w:eastAsia="es-ES"/>
        </w:rPr>
        <w:t>fuente de conflicto: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u w:val="single"/>
          <w:lang w:eastAsia="es-ES"/>
        </w:rPr>
        <w:t>«Disposición adicional 6ª. Salvaguarda del empleo.</w:t>
      </w:r>
    </w:p>
    <w:p w:rsidR="00EF4787" w:rsidRPr="00D41E9C" w:rsidRDefault="00EF4787" w:rsidP="00EF478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Las medidas extraordinarias en el ámbito laboral previstas en el presente real decreto-ley estarán sujetas al compromiso de la empresa de mantener el empleo durante el plazo de 6 meses desde la fecha de reanudación de la actividad.»</w:t>
      </w:r>
    </w:p>
    <w:p w:rsidR="00EF4787" w:rsidRPr="00D41E9C" w:rsidRDefault="00EF4787" w:rsidP="00EF4787">
      <w:pPr>
        <w:shd w:val="clear" w:color="auto" w:fill="FFFFFF"/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un intento por despejar dudas sobre el compromiso de mantenimiento del empleo durante el plazo de 6 meses desde la fecha de reanudación de la actividad prevista tras los ERTES, y, reconociendo «</w:t>
      </w:r>
      <w:r w:rsidRPr="00D41E9C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que resulta inédito en nuestro ordenamiento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D41E9C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prever beneficios que se vinculan de manera específica al uso de medidas de ajuste interno que tienen como objetivo la preservación del empleo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», la Dirección General de Trabajo emite -a petición de la CEOE-, la siguiente interpretación:</w:t>
      </w:r>
    </w:p>
    <w:p w:rsidR="00EF4787" w:rsidRPr="00B278FF" w:rsidRDefault="00EF4787" w:rsidP="00EF478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28"/>
          <w:szCs w:val="28"/>
          <w:lang w:eastAsia="es-ES"/>
        </w:rPr>
      </w:pPr>
      <w:r w:rsidRPr="00B278FF">
        <w:rPr>
          <w:rFonts w:ascii="Comic Sans MS" w:eastAsia="Times New Roman" w:hAnsi="Comic Sans MS" w:cs="Arial"/>
          <w:i/>
          <w:iCs/>
          <w:color w:val="FF0000"/>
          <w:sz w:val="28"/>
          <w:szCs w:val="28"/>
          <w:lang w:eastAsia="es-ES"/>
        </w:rPr>
        <w:t>«...la empresa deberá mantener el empleo de manera que no podrán producirse extinciones- sin perjuicio, por tanto de suspensiones o reducciones de jornada-, salvo aquellas que resulten ajenas a la voluntad del empresario o que se puedan resolverse valida y lícitamente por la concurrencia de las causas previstas en el </w:t>
      </w:r>
      <w:r w:rsidRPr="00B278FF">
        <w:rPr>
          <w:rFonts w:ascii="Comic Sans MS" w:eastAsia="Times New Roman" w:hAnsi="Comic Sans MS" w:cs="Arial"/>
          <w:i/>
          <w:iCs/>
          <w:color w:val="FF0000"/>
          <w:sz w:val="28"/>
          <w:szCs w:val="28"/>
          <w:u w:val="single"/>
          <w:lang w:eastAsia="es-ES"/>
        </w:rPr>
        <w:t>artículo 49.1.c)</w:t>
      </w:r>
      <w:r w:rsidRPr="00B278FF">
        <w:rPr>
          <w:rFonts w:ascii="Comic Sans MS" w:eastAsia="Times New Roman" w:hAnsi="Comic Sans MS" w:cs="Arial"/>
          <w:i/>
          <w:iCs/>
          <w:color w:val="FF0000"/>
          <w:sz w:val="28"/>
          <w:szCs w:val="28"/>
          <w:lang w:eastAsia="es-ES"/>
        </w:rPr>
        <w:t>, teniendo en cuenta, no obstante, lo previsto en el </w:t>
      </w:r>
      <w:r w:rsidRPr="00B278FF">
        <w:rPr>
          <w:rFonts w:ascii="Comic Sans MS" w:eastAsia="Times New Roman" w:hAnsi="Comic Sans MS" w:cs="Arial"/>
          <w:i/>
          <w:iCs/>
          <w:color w:val="FF0000"/>
          <w:sz w:val="28"/>
          <w:szCs w:val="28"/>
          <w:u w:val="single"/>
          <w:lang w:eastAsia="es-ES"/>
        </w:rPr>
        <w:t>artículo 5</w:t>
      </w:r>
      <w:r w:rsidRPr="00B278FF">
        <w:rPr>
          <w:rFonts w:ascii="Comic Sans MS" w:eastAsia="Times New Roman" w:hAnsi="Comic Sans MS" w:cs="Arial"/>
          <w:i/>
          <w:iCs/>
          <w:color w:val="FF0000"/>
          <w:sz w:val="28"/>
          <w:szCs w:val="28"/>
          <w:lang w:eastAsia="es-ES"/>
        </w:rPr>
        <w:t> del Real Decreto-ley 9/2020 a propósito de la extensión del periodo suspendido, debiendo en caso contrario reintegrarse las cuotas dejadas de ingresar.»</w:t>
      </w:r>
    </w:p>
    <w:p w:rsidR="00EF4787" w:rsidRPr="00D41E9C" w:rsidRDefault="00EF4787" w:rsidP="00EF4787">
      <w:pPr>
        <w:shd w:val="clear" w:color="auto" w:fill="FFFFFF"/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base a esta interpretación, se vincula al beneficio que las empresas obtienen durante el periodo excepcional y como consecuencia de la aplicación de medidas laborales excepcionales, prevista en el </w:t>
      </w:r>
      <w:hyperlink r:id="rId4" w:anchor="a2-6" w:history="1">
        <w:r w:rsidRPr="00D41E9C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artículo 24 del Real Decreto-ley 8/2020, de 17-3</w:t>
        </w:r>
      </w:hyperlink>
      <w:r w:rsidRPr="00D41E9C">
        <w:rPr>
          <w:rFonts w:ascii="Comic Sans MS" w:eastAsia="Times New Roman" w:hAnsi="Comic Sans MS" w:cs="Arial"/>
          <w:color w:val="555555"/>
          <w:sz w:val="28"/>
          <w:szCs w:val="28"/>
          <w:lang w:eastAsia="es-ES"/>
        </w:rPr>
        <w:t> a la </w:t>
      </w:r>
      <w:r w:rsidRPr="00D41E9C">
        <w:rPr>
          <w:rFonts w:ascii="Comic Sans MS" w:eastAsia="Times New Roman" w:hAnsi="Comic Sans MS" w:cs="Arial"/>
          <w:b/>
          <w:bCs/>
          <w:color w:val="555555"/>
          <w:sz w:val="28"/>
          <w:szCs w:val="28"/>
          <w:lang w:eastAsia="es-ES"/>
        </w:rPr>
        <w:t>fuerza mayor</w:t>
      </w:r>
      <w:r w:rsidRPr="00D41E9C">
        <w:rPr>
          <w:rFonts w:ascii="Comic Sans MS" w:eastAsia="Times New Roman" w:hAnsi="Comic Sans MS" w:cs="Arial"/>
          <w:color w:val="555555"/>
          <w:sz w:val="28"/>
          <w:szCs w:val="28"/>
          <w:lang w:eastAsia="es-ES"/>
        </w:rPr>
        <w:t>: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u w:val="single"/>
          <w:lang w:eastAsia="es-ES"/>
        </w:rPr>
        <w:t>Real Decreto-ley 8/2020, de 17-3, de medidas urgentes extraordinarias para hacer frente al impacto económico y social del COVID-19.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u w:val="single"/>
          <w:lang w:eastAsia="es-ES"/>
        </w:rPr>
        <w:t>Artículo 24. Medidas extraordinarias en materia de cotización en relación con los procedimientos de suspensión de contratos y reducción de jornada por fuerza mayor relacionados con el COVID-19.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“1. En los expedientes de suspensión de contratos y reducción de jornada autorizados en base a fuerza mayor temporal vinculada al COVID-19 definida en el artículo 22, la Tesorería General de la Seguridad Social exonerará a la empresa del abono de la aportación empresarial prevista en el </w:t>
      </w: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u w:val="single"/>
          <w:lang w:eastAsia="es-ES"/>
        </w:rPr>
        <w:t>artículo 273.2</w:t>
      </w: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 del Texto Refundido de la Ley General de la Seguridad Social, aprobado por el Real Decreto Legislativo 8/2015, de 30-10, así como del relativo a las cuotas por conceptos de recaudación conjunta, mientras dure el período de suspensión de contratos o reducción de jornada autorizado en base a dicha causa cuando la empresa, a 29-2-2020, tuviera menos de 50 trabajadores en situación de alta en la Seguridad Social. Si la empresa tuviera 50 trabajadores o más, en situación de alta en la Seguridad Social, la exoneración de la obligación de cotizar alcanzará al 75 % de la aportación empresarial.”</w:t>
      </w:r>
    </w:p>
    <w:p w:rsidR="00EF4787" w:rsidRPr="00D41E9C" w:rsidRDefault="00EF4787" w:rsidP="00EF478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u w:val="single"/>
          <w:lang w:eastAsia="es-ES"/>
        </w:rPr>
        <w:t>Real Decreto Legislativo 8/2015, de 30-10, por el que se aprueba el texto refundido de la Ley General de la Seguridad Social.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u w:val="single"/>
          <w:lang w:eastAsia="es-ES"/>
        </w:rPr>
        <w:t>Artículo 273. Cotización durante la situación de desempleo.</w:t>
      </w:r>
    </w:p>
    <w:p w:rsidR="00EF4787" w:rsidRPr="00D41E9C" w:rsidRDefault="00EF4787" w:rsidP="00EF4787">
      <w:pPr>
        <w:shd w:val="clear" w:color="auto" w:fill="FFFFFF"/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2. En los supuestos de reducción de jornada o suspensión del contrato, la empresa ingresará la aportación que le corresponda, debiendo la entidad gestora ingresar únicamente la aportación del trabajador, una vez efectuado el descuento a que se refiere el apartado anterior.</w:t>
      </w:r>
    </w:p>
    <w:p w:rsidR="00EF4787" w:rsidRPr="00D41E9C" w:rsidRDefault="00EF4787" w:rsidP="00EF4787">
      <w:pPr>
        <w:shd w:val="clear" w:color="auto" w:fill="FFFFFF"/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Del criterio -que se emite con 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carácter informativo y no vinculante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por cuanto la competencia para realizar interpretaciones legales con carácter vinculante se atribuye en exclusiva por nuestro Derecho a los órganos jurisdiccionales- hemos de extraer igualmente:</w:t>
      </w:r>
    </w:p>
    <w:p w:rsidR="00EF4787" w:rsidRPr="00D41E9C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exoneración solo se aplica a los </w:t>
      </w:r>
      <w:r w:rsidR="00D41E9C" w:rsidRPr="00D41E9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ERTEs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 xml:space="preserve"> por fuerza mayor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, no a los </w:t>
      </w:r>
      <w:r w:rsidR="00D41E9C"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ERTEs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por causas económicas, técnicas, organizativas o de producción.</w:t>
      </w:r>
    </w:p>
    <w:p w:rsidR="00EF4787" w:rsidRPr="00D41E9C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 El compromiso no se entenderá incumplido cuando el contrato de trabajo se extinga por motivos como</w:t>
      </w:r>
      <w:r w:rsidRPr="00D41E9C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s-ES"/>
        </w:rPr>
        <w:t>: </w:t>
      </w: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despido disciplinario declarado como procedente, dimisión, jubilación o incapacidad permanente total, absoluta o gran invalidez de la persona trabajadora.</w:t>
      </w:r>
    </w:p>
    <w:p w:rsidR="00EF4787" w:rsidRPr="00D41E9C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En el caso de los contratos temporales, el compromiso no se entenderá incumplido cuando el contrato se extinga por expiración del tiempo convenido o la realización de la obra o servicio que constituye su objeto o cuando no pueda realizarse de forma inmediata la actividad objeto de contratación.</w:t>
      </w:r>
    </w:p>
    <w:p w:rsidR="00EF4787" w:rsidRPr="00D41E9C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D41E9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personas trabajadoras tenidas en cuenta para entender cumplido el compromiso serán las incluidas en la medida coyuntural adoptada por la empresa, es decir, en el ERTE de suspensión o reducción de jornada.</w:t>
      </w:r>
    </w:p>
    <w:p w:rsidR="00EF4787" w:rsidRPr="00B278FF" w:rsidRDefault="00EF4787" w:rsidP="00EF4787">
      <w:pPr>
        <w:shd w:val="clear" w:color="auto" w:fill="FFFFFF"/>
        <w:spacing w:after="100" w:line="240" w:lineRule="auto"/>
        <w:jc w:val="both"/>
        <w:rPr>
          <w:rFonts w:ascii="Comic Sans MS" w:eastAsia="Times New Roman" w:hAnsi="Comic Sans MS" w:cs="Arial"/>
          <w:color w:val="FF0000"/>
          <w:sz w:val="28"/>
          <w:szCs w:val="28"/>
          <w:lang w:eastAsia="es-ES"/>
        </w:rPr>
      </w:pPr>
      <w:r w:rsidRPr="00B278FF">
        <w:rPr>
          <w:rFonts w:ascii="Comic Sans MS" w:eastAsia="Times New Roman" w:hAnsi="Comic Sans MS" w:cs="Arial"/>
          <w:color w:val="FF0000"/>
          <w:sz w:val="28"/>
          <w:szCs w:val="28"/>
          <w:lang w:eastAsia="es-ES"/>
        </w:rPr>
        <w:t>- El compromiso de mantenimiento del empleo será efectivo desde el momento en que termine el estado de alarma. Es decir, hemos de empezar a computar los seis meses establecidos desde la finalización del estado de alarma decretado por el </w:t>
      </w:r>
      <w:hyperlink r:id="rId5" w:anchor="a3" w:history="1">
        <w:r w:rsidRPr="00B278FF">
          <w:rPr>
            <w:rFonts w:ascii="Comic Sans MS" w:eastAsia="Times New Roman" w:hAnsi="Comic Sans MS" w:cs="Arial"/>
            <w:b/>
            <w:bCs/>
            <w:color w:val="FF0000"/>
            <w:sz w:val="28"/>
            <w:szCs w:val="28"/>
            <w:u w:val="single"/>
            <w:lang w:eastAsia="es-ES"/>
          </w:rPr>
          <w:t>artículo 3 del Real Decreto 463/2020, de 14-3</w:t>
        </w:r>
      </w:hyperlink>
      <w:r w:rsidRPr="00B278FF">
        <w:rPr>
          <w:rFonts w:ascii="Comic Sans MS" w:eastAsia="Times New Roman" w:hAnsi="Comic Sans MS" w:cs="Arial"/>
          <w:color w:val="FF0000"/>
          <w:sz w:val="28"/>
          <w:szCs w:val="28"/>
          <w:lang w:eastAsia="es-ES"/>
        </w:rPr>
        <w:t> y sus posibles prórrogas.</w:t>
      </w:r>
    </w:p>
    <w:p w:rsidR="00EF4787" w:rsidRPr="00D41E9C" w:rsidRDefault="00EF4787" w:rsidP="00EF4787">
      <w:pPr>
        <w:jc w:val="both"/>
        <w:rPr>
          <w:rFonts w:ascii="Comic Sans MS" w:hAnsi="Comic Sans MS"/>
          <w:sz w:val="28"/>
          <w:szCs w:val="28"/>
        </w:rPr>
      </w:pPr>
    </w:p>
    <w:sectPr w:rsidR="00EF4787" w:rsidRPr="00D41E9C" w:rsidSect="00EF47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7"/>
    <w:rsid w:val="00B278FF"/>
    <w:rsid w:val="00D41E9C"/>
    <w:rsid w:val="00E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38EF-DBD2-418C-9E65-72C9AFA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39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331304289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480343986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498663674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e.es/buscar/act.php?id=BOE-A-2020-3692" TargetMode="External"/><Relationship Id="rId4" Type="http://schemas.openxmlformats.org/officeDocument/2006/relationships/hyperlink" Target="https://www.boe.es/buscar/act.php?id=BOE-A-2020-38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cp:lastPrinted>2020-04-26T09:39:00Z</cp:lastPrinted>
  <dcterms:created xsi:type="dcterms:W3CDTF">2020-04-26T09:38:00Z</dcterms:created>
  <dcterms:modified xsi:type="dcterms:W3CDTF">2020-04-26T10:40:00Z</dcterms:modified>
</cp:coreProperties>
</file>