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45" w:rsidRPr="008459BA" w:rsidRDefault="008459BA" w:rsidP="00845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97300"/>
          <w:kern w:val="36"/>
          <w:sz w:val="40"/>
          <w:szCs w:val="40"/>
          <w:lang w:val="es-ES" w:eastAsia="es-ES"/>
        </w:rPr>
      </w:pPr>
      <w:r w:rsidRPr="008459BA">
        <w:rPr>
          <w:rFonts w:ascii="Times New Roman" w:eastAsia="Times New Roman" w:hAnsi="Times New Roman" w:cs="Times New Roman"/>
          <w:b/>
          <w:color w:val="F97300"/>
          <w:kern w:val="36"/>
          <w:sz w:val="40"/>
          <w:szCs w:val="40"/>
          <w:lang w:val="es-ES" w:eastAsia="es-ES"/>
        </w:rPr>
        <w:t>LOS NUEVOS CONTRATOS FORMATIVOS A PARTIR DE 2022.</w:t>
      </w:r>
    </w:p>
    <w:p w:rsidR="009F6445" w:rsidRPr="009F6445" w:rsidRDefault="009F6445" w:rsidP="009F644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Ante la reordenación de los distintos tipos de contratos que encontramos en la reciente "Reforma Laboral 2021" reglada por el  </w:t>
      </w:r>
      <w:hyperlink r:id="rId5" w:tgtFrame="_blank" w:history="1">
        <w:r w:rsidRPr="009F6445">
          <w:rPr>
            <w:rFonts w:ascii="Arial" w:eastAsia="Times New Roman" w:hAnsi="Arial" w:cs="Arial"/>
            <w:b/>
            <w:bCs/>
            <w:color w:val="0084C4"/>
            <w:sz w:val="24"/>
            <w:szCs w:val="24"/>
            <w:lang w:val="es-ES" w:eastAsia="es-ES"/>
          </w:rPr>
          <w:t>R</w:t>
        </w:r>
        <w:r w:rsidRPr="009F6445">
          <w:rPr>
            <w:rFonts w:ascii="Arial" w:eastAsia="Times New Roman" w:hAnsi="Arial" w:cs="Arial"/>
            <w:b/>
            <w:bCs/>
            <w:color w:val="0084C4"/>
            <w:sz w:val="24"/>
            <w:szCs w:val="24"/>
            <w:lang w:val="es-ES" w:eastAsia="es-ES"/>
          </w:rPr>
          <w:t>e</w:t>
        </w:r>
        <w:r w:rsidRPr="009F6445">
          <w:rPr>
            <w:rFonts w:ascii="Arial" w:eastAsia="Times New Roman" w:hAnsi="Arial" w:cs="Arial"/>
            <w:b/>
            <w:bCs/>
            <w:color w:val="0084C4"/>
            <w:sz w:val="24"/>
            <w:szCs w:val="24"/>
            <w:lang w:val="es-ES" w:eastAsia="es-ES"/>
          </w:rPr>
          <w:t>a</w:t>
        </w:r>
        <w:r w:rsidRPr="009F6445">
          <w:rPr>
            <w:rFonts w:ascii="Arial" w:eastAsia="Times New Roman" w:hAnsi="Arial" w:cs="Arial"/>
            <w:b/>
            <w:bCs/>
            <w:color w:val="0084C4"/>
            <w:sz w:val="24"/>
            <w:szCs w:val="24"/>
            <w:lang w:val="es-ES" w:eastAsia="es-ES"/>
          </w:rPr>
          <w:t>l Decreto-ley 32/2021</w:t>
        </w:r>
      </w:hyperlink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, de 28 de diciembre, de medidas urgentes para la reforma laboral, la garantía de la estabilidad en el empleo y la transformación del mercado de trabajo, de la que "venimos dando cumplida información" a nuestros lectores desde su publicación en el Boletín Oficial del Estado, dedicamos el presente comentario a dar cobertura a la reforma sufrida por los contratos formativos.</w:t>
      </w:r>
    </w:p>
    <w:p w:rsidR="009F6445" w:rsidRPr="009F6445" w:rsidRDefault="009F6445" w:rsidP="009F6445">
      <w:pPr>
        <w:pBdr>
          <w:top w:val="single" w:sz="6" w:space="0" w:color="423222"/>
          <w:left w:val="single" w:sz="6" w:space="0" w:color="423222"/>
          <w:bottom w:val="single" w:sz="6" w:space="0" w:color="423222"/>
          <w:right w:val="single" w:sz="6" w:space="0" w:color="423222"/>
        </w:pBdr>
        <w:shd w:val="clear" w:color="auto" w:fill="423222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FFFF"/>
          <w:sz w:val="36"/>
          <w:szCs w:val="36"/>
          <w:lang w:val="es-ES" w:eastAsia="es-ES"/>
        </w:rPr>
      </w:pPr>
      <w:r w:rsidRPr="009F6445">
        <w:rPr>
          <w:rFonts w:ascii="Times New Roman" w:eastAsia="Times New Roman" w:hAnsi="Times New Roman" w:cs="Times New Roman"/>
          <w:color w:val="FFFFFF"/>
          <w:sz w:val="36"/>
          <w:szCs w:val="36"/>
          <w:lang w:val="es-ES" w:eastAsia="es-ES"/>
        </w:rPr>
        <w:t>Recuerde que:</w:t>
      </w:r>
    </w:p>
    <w:p w:rsidR="009F6445" w:rsidRPr="009F6445" w:rsidRDefault="009F6445" w:rsidP="009F6445">
      <w:pPr>
        <w:shd w:val="clear" w:color="auto" w:fill="FDF4EB"/>
        <w:spacing w:after="0" w:line="240" w:lineRule="auto"/>
        <w:jc w:val="both"/>
        <w:rPr>
          <w:rFonts w:ascii="Arial" w:eastAsia="Times New Roman" w:hAnsi="Arial" w:cs="Arial"/>
          <w:i/>
          <w:iCs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i/>
          <w:iCs/>
          <w:color w:val="6C6C6C"/>
          <w:sz w:val="24"/>
          <w:szCs w:val="24"/>
          <w:lang w:val="es-ES" w:eastAsia="es-ES"/>
        </w:rPr>
        <w:t>Los nuevos contratos formativos entran en vigor con fecha desde 31.03.2022 inclusive.</w:t>
      </w:r>
    </w:p>
    <w:p w:rsidR="009F6445" w:rsidRPr="009F6445" w:rsidRDefault="009F6445" w:rsidP="009F644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Así la referida norma modifica el </w:t>
      </w:r>
      <w:r w:rsidRPr="009F6445">
        <w:rPr>
          <w:rFonts w:ascii="Arial" w:eastAsia="Times New Roman" w:hAnsi="Arial" w:cs="Arial"/>
          <w:b/>
          <w:bCs/>
          <w:color w:val="0084C4"/>
          <w:sz w:val="24"/>
          <w:szCs w:val="24"/>
          <w:lang w:val="es-ES" w:eastAsia="es-ES"/>
        </w:rPr>
        <w:t>artículo 11</w:t>
      </w: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 del Estatuto de los Trabajadores -ET- (</w:t>
      </w:r>
      <w:r w:rsidRPr="009F6445">
        <w:rPr>
          <w:rFonts w:ascii="Arial" w:eastAsia="Times New Roman" w:hAnsi="Arial" w:cs="Arial"/>
          <w:b/>
          <w:bCs/>
          <w:color w:val="0084C4"/>
          <w:sz w:val="24"/>
          <w:szCs w:val="24"/>
          <w:lang w:val="es-ES" w:eastAsia="es-ES"/>
        </w:rPr>
        <w:t>Real Decreto Legislativos 2/2015</w:t>
      </w: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) para "diseñar" unos nuevos contratos formativos que sustituyan a los celebrados hasta la fecha, aunque hemos de saber que los ya realizados y vigentes, lo estarán hasta la finalización de su duración máxima de acuerdo con la anterior normativa reguladora. Si de forma esquemática tuviésemos que presentar las principales novedades de este tipo de contratos y los aspectos claves que necesariamente debemos conocer para formalizarlos correctamente, podríamos hacerlo de la forma: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922"/>
        <w:gridCol w:w="3697"/>
      </w:tblGrid>
      <w:tr w:rsidR="009F6445" w:rsidRPr="009F6445" w:rsidTr="009F64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DEC4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</w:pPr>
            <w:r w:rsidRPr="009F6445"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  <w:t>CONTRATOS FORMATIVOS (</w:t>
            </w:r>
            <w:r w:rsidRPr="009F6445">
              <w:rPr>
                <w:rFonts w:ascii="Times New Roman" w:eastAsia="Times New Roman" w:hAnsi="Times New Roman" w:cs="Times New Roman"/>
                <w:b/>
                <w:bCs/>
                <w:color w:val="0084C4"/>
                <w:sz w:val="24"/>
                <w:szCs w:val="24"/>
                <w:lang w:val="es-ES" w:eastAsia="es-ES"/>
              </w:rPr>
              <w:t>Artículo 11 ET</w:t>
            </w:r>
            <w:r w:rsidRPr="009F6445"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  <w:t>) - Reforma Laboral 2021</w:t>
            </w:r>
          </w:p>
        </w:tc>
      </w:tr>
      <w:tr w:rsidR="009F6445" w:rsidRPr="009F6445" w:rsidTr="009F64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Básicamente han sido divididos en dos modalidades (se eliminan los "antiguos" contratos en prácticas, para la formación y el aprendizaje y para la formación dual universitaria) cuyas principales características enfrentamos a continuación:</w:t>
            </w:r>
          </w:p>
        </w:tc>
      </w:tr>
      <w:tr w:rsidR="009F6445" w:rsidRPr="009F6445" w:rsidTr="009F6445">
        <w:tc>
          <w:tcPr>
            <w:tcW w:w="2563" w:type="dxa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5127" w:type="dxa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D4A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En Alternancia Trabajo-Formación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br/>
              <w:t>(</w:t>
            </w:r>
            <w:r w:rsidRPr="009F6445">
              <w:rPr>
                <w:rFonts w:ascii="Arial" w:eastAsia="Times New Roman" w:hAnsi="Arial" w:cs="Arial"/>
                <w:b/>
                <w:bCs/>
                <w:color w:val="0084C4"/>
                <w:sz w:val="24"/>
                <w:szCs w:val="24"/>
                <w:lang w:val="es-ES" w:eastAsia="es-ES"/>
              </w:rPr>
              <w:t>Art. 11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.2 ET)</w:t>
            </w:r>
          </w:p>
        </w:tc>
        <w:tc>
          <w:tcPr>
            <w:tcW w:w="5127" w:type="dxa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FD4AF"/>
            </w:tcBorders>
            <w:shd w:val="clear" w:color="auto" w:fill="FFD4A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Para la obtención de la práctica profesional (</w:t>
            </w:r>
            <w:bookmarkStart w:id="0" w:name="_GoBack"/>
            <w:bookmarkEnd w:id="0"/>
            <w:r w:rsidRPr="009F6445">
              <w:rPr>
                <w:rFonts w:ascii="Arial" w:eastAsia="Times New Roman" w:hAnsi="Arial" w:cs="Arial"/>
                <w:b/>
                <w:bCs/>
                <w:color w:val="0084C4"/>
                <w:sz w:val="24"/>
                <w:szCs w:val="24"/>
                <w:lang w:val="es-ES" w:eastAsia="es-ES"/>
              </w:rPr>
              <w:t>Art. 11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.3 ET)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Equivalencia con contratos anteriores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Equivaldría al anterior contrato de formación-aprendizaje.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Equivaldría al anterior contrato en prácticas.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¿Cuándo utilizarlo?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Para compatibilizar la actividad laboral retribuida con formación profesional, universitaria o formación de empleo.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Para la obtención de la práctica profesional adecuada al correspondiente nivel de estudios.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Perfil de personas a contratar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numPr>
                <w:ilvl w:val="0"/>
                <w:numId w:val="1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Personas que carezcan de cualificación profesional para concertar un contrato formativo para la obtención de práctica 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profesional o para vincular a estudios de formación profesional o universitaria si se posee otra titulación y no se ha tenido otro contrato formativo previo en una formación del mismo nivel formativo y del mismo sector productivo.</w:t>
            </w:r>
          </w:p>
          <w:p w:rsidR="009F6445" w:rsidRPr="009F6445" w:rsidRDefault="009F6445" w:rsidP="009F6445">
            <w:pPr>
              <w:numPr>
                <w:ilvl w:val="0"/>
                <w:numId w:val="1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En contratos para certificados de profesionalidad de nivel 1 y 2, solo podrá ser concertado con personas de hasta 30 años.</w:t>
            </w:r>
          </w:p>
          <w:p w:rsidR="009F6445" w:rsidRPr="009F6445" w:rsidRDefault="009F6445" w:rsidP="009F6445">
            <w:pPr>
              <w:numPr>
                <w:ilvl w:val="0"/>
                <w:numId w:val="1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podrá contratarse a la misma persona en la misma empresa si ocupó la actividad o puesto antes bajo cualquier modalidad por tiempo superior a seis meses.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numPr>
                <w:ilvl w:val="0"/>
                <w:numId w:val="2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 xml:space="preserve">Poseedores de un título (universitario, especialista, formación profesional, etc.) del sistema educativo, que les 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habiliten o capaciten para el ejercicio de la actividad laboral.</w:t>
            </w:r>
          </w:p>
          <w:p w:rsidR="009F6445" w:rsidRPr="009F6445" w:rsidRDefault="009F6445" w:rsidP="009F6445">
            <w:pPr>
              <w:numPr>
                <w:ilvl w:val="0"/>
                <w:numId w:val="2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No existe límite de </w:t>
            </w:r>
            <w:proofErr w:type="gramStart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edad</w:t>
            </w:r>
            <w:proofErr w:type="gramEnd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 pero deberá concertarse dentro de los 3 años (o 5 años si se concierta con una persona con discapacidad) siguientes a la terminación de los correspondientes estudios.</w:t>
            </w:r>
          </w:p>
          <w:p w:rsidR="009F6445" w:rsidRPr="009F6445" w:rsidRDefault="009F6445" w:rsidP="009F6445">
            <w:pPr>
              <w:numPr>
                <w:ilvl w:val="0"/>
                <w:numId w:val="2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se podrá contratar si ya ha obtenido experiencia profesional o realizado actividad formativa en la misma actividad dentro de la empresa por más de 3 meses (sin contar a estos efectos los periodos de formación o prácticas que formen parte del currículo exigido para la obtención de la titulación o certificado que habilita esta contratación).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Duración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La prevista en el correspondiente plan o programa formativo, con un mínimo de 3 meses y un máximo de 2 años, pudiendo celebrarse en un solo contrato de forma no continuada; en otro caso, podrá prorrogarse hasta la conseguir la acreditación sin superar la duración máxima de 2 años.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podrá ser inferior a 6 meses ni exceder de un año; no obstante el convenio colectivo podrá regular dentro de estos límites.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Período de Prueba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puede realizarse en este tipo de contratos.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En ningún caso podrá exceder de un mes, salvo lo dispuesto en convenio colectivo.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Retribución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La fijada en el convenio colectivo para estos contratos. En su defecto, no podrá ser inferior al 60% el </w:t>
            </w:r>
            <w:proofErr w:type="spellStart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vertAlign w:val="superscript"/>
                <w:lang w:val="es-ES" w:eastAsia="es-ES"/>
              </w:rPr>
              <w:t>er</w:t>
            </w:r>
            <w:proofErr w:type="spellEnd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 año ni al 75% el 2º año, respecto de la fijada en convenio para el grupo profesional y nivel retributivo correspondiente a las funciones desempeñadas, en proporción al tiempo de 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trabajo efectivo. En ningún podrá ser inferior al SMI en proporción al tiempo de trabajo efectivo.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La fijada en convenio colectivo para estos contratos o grupo profesional y nivel retributivo correspondiente a las funciones desempeñadas. En ningún caso inferior a la retribución mínima del contrato para la formación en alternancia ni al SMI en proporción al tiempo de trabajo efectivo.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Horas "extras" y complementarias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 xml:space="preserve">No pueden realizarse horas extraordinarias ni complementarias salvo por causa de fuerza mayor. Tampoco podrán realizar trabajos nocturnos ni trabajo a turnos (salvo excepción art. </w:t>
            </w:r>
            <w:proofErr w:type="spellStart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11.2.k</w:t>
            </w:r>
            <w:proofErr w:type="spellEnd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) 2º párrafo).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pueden realizarse horas extraordinarias salvo por causa de fuerza mayor.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Otros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numPr>
                <w:ilvl w:val="0"/>
                <w:numId w:val="3"/>
              </w:numPr>
              <w:spacing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Los centros de formación deben elaborar los planes formativos individuales con el contenido de la formación, el calendario y las actividades y los requisitos de tutoría para el cumplimiento de sus objetivos.</w:t>
            </w:r>
          </w:p>
          <w:p w:rsidR="009F6445" w:rsidRPr="009F6445" w:rsidRDefault="009F6445" w:rsidP="009F6445">
            <w:pPr>
              <w:numPr>
                <w:ilvl w:val="0"/>
                <w:numId w:val="3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Tanto la empresa como el centro de formación deben designar un tutor y garantizar la coordinación de ambos, éstos con la formación o experiencia adecuadas.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numPr>
                <w:ilvl w:val="0"/>
                <w:numId w:val="4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No podrá contratarse en la misma o distinta empresa por tiempo superior a los máximos establecidos ni en formación en la misma empresa para el mismo puesto de trabajo por tiempo superior a los máximos previstos, aunque se trate de distinta titulación o distinto certificado.</w:t>
            </w:r>
          </w:p>
          <w:p w:rsidR="009F6445" w:rsidRPr="009F6445" w:rsidRDefault="009F6445" w:rsidP="009F6445">
            <w:pPr>
              <w:numPr>
                <w:ilvl w:val="0"/>
                <w:numId w:val="4"/>
              </w:numPr>
              <w:spacing w:after="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La empresa debe elaborar el plan formativo individual con el contenido de la práctica profesional y asignar tutor que cuente con la formación o experiencia adecuadas.</w:t>
            </w:r>
          </w:p>
        </w:tc>
      </w:tr>
    </w:tbl>
    <w:p w:rsidR="009F6445" w:rsidRPr="009F6445" w:rsidRDefault="009F6445" w:rsidP="009F644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Pero además de presentar las principales características de estos nuevos contratos cuya celebración se emplaza a tres meses vista de la publicación de la reforma, resultará interesante mostrar al lector algunas de las novedades-diferencias que surgen consecuencia de la misma en relación a la regulación preexistente. Así:</w:t>
      </w:r>
    </w:p>
    <w:p w:rsidR="009F6445" w:rsidRPr="009F6445" w:rsidRDefault="009F6445" w:rsidP="009F64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97300"/>
          <w:sz w:val="36"/>
          <w:szCs w:val="36"/>
          <w:lang w:val="es-ES" w:eastAsia="es-ES"/>
        </w:rPr>
      </w:pPr>
      <w:r w:rsidRPr="009F6445">
        <w:rPr>
          <w:rFonts w:ascii="Times New Roman" w:eastAsia="Times New Roman" w:hAnsi="Times New Roman" w:cs="Times New Roman"/>
          <w:color w:val="F97300"/>
          <w:sz w:val="36"/>
          <w:szCs w:val="36"/>
          <w:lang w:val="es-ES" w:eastAsia="es-ES"/>
        </w:rPr>
        <w:t>Contrato de Formación en Alternancia.</w:t>
      </w:r>
    </w:p>
    <w:p w:rsidR="009F6445" w:rsidRPr="009F6445" w:rsidRDefault="009F6445" w:rsidP="009F644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Entre otras novedades, podríamos destacar:</w:t>
      </w:r>
    </w:p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Varía el tiempo de trabajo efectivo compatible con el tiempo dedicado a las actividades formativas en el centro de formación. Así: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750"/>
        <w:gridCol w:w="1149"/>
        <w:gridCol w:w="1750"/>
        <w:gridCol w:w="1149"/>
      </w:tblGrid>
      <w:tr w:rsidR="009F6445" w:rsidRPr="009F6445" w:rsidTr="009F64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DEC4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</w:pPr>
            <w:r w:rsidRPr="009F6445"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  <w:t>Antes de Reforma 2021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DEC4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</w:pPr>
            <w:r w:rsidRPr="009F6445"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  <w:t>Después de Reforma 2021</w:t>
            </w:r>
          </w:p>
        </w:tc>
      </w:tr>
      <w:tr w:rsidR="009F6445" w:rsidRPr="009F6445" w:rsidTr="009F64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3222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Trabajo Efectivo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Formación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Trabajo Efectivo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Formación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proofErr w:type="spellStart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vertAlign w:val="superscript"/>
                <w:lang w:val="es-ES" w:eastAsia="es-ES"/>
              </w:rPr>
              <w:t>er</w:t>
            </w:r>
            <w:proofErr w:type="spellEnd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 Año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75%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25%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35%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2º Año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85%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85%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15%</w:t>
            </w:r>
          </w:p>
        </w:tc>
      </w:tr>
      <w:tr w:rsidR="009F6445" w:rsidRPr="009F6445" w:rsidTr="009F6445"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DF4EB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proofErr w:type="spellStart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lastRenderedPageBreak/>
              <w:t>3</w:t>
            </w: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vertAlign w:val="superscript"/>
                <w:lang w:val="es-ES" w:eastAsia="es-ES"/>
              </w:rPr>
              <w:t>er</w:t>
            </w:r>
            <w:proofErr w:type="spellEnd"/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 Año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85%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---</w:t>
            </w:r>
          </w:p>
        </w:tc>
        <w:tc>
          <w:tcPr>
            <w:tcW w:w="0" w:type="auto"/>
            <w:tcBorders>
              <w:top w:val="single" w:sz="6" w:space="0" w:color="F2DEC4"/>
              <w:left w:val="single" w:sz="6" w:space="0" w:color="F2DEC4"/>
              <w:bottom w:val="single" w:sz="6" w:space="0" w:color="F2DEC4"/>
              <w:right w:val="single" w:sz="6" w:space="0" w:color="F2DEC4"/>
            </w:tcBorders>
            <w:shd w:val="clear" w:color="auto" w:fill="FFFFFF"/>
            <w:vAlign w:val="center"/>
            <w:hideMark/>
          </w:tcPr>
          <w:p w:rsidR="009F6445" w:rsidRPr="009F6445" w:rsidRDefault="009F6445" w:rsidP="009F6445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</w:pPr>
            <w:r w:rsidRPr="009F6445">
              <w:rPr>
                <w:rFonts w:ascii="Arial" w:eastAsia="Times New Roman" w:hAnsi="Arial" w:cs="Arial"/>
                <w:color w:val="6C6C6C"/>
                <w:sz w:val="24"/>
                <w:szCs w:val="24"/>
                <w:lang w:val="es-ES" w:eastAsia="es-ES"/>
              </w:rPr>
              <w:t>---</w:t>
            </w:r>
          </w:p>
        </w:tc>
      </w:tr>
    </w:tbl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Se elimina el límite de edad establecido anteriormente en 25 años. Esta nueva modalidad no establece límite de edad salvo en contratos para certificados de profesionalidad de nivel 1 y 2 y programas públicos o privados de formación en alternancia de empleo–formación, que formen parte del Catálogo de especialidades formativas del Sistema Nacional de Empleo, que solo podrán ser formalizados con menores de 30 años.</w:t>
      </w:r>
    </w:p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Mientras antes podía establecerse período de prueba, ahora ya no es posible.</w:t>
      </w:r>
    </w:p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Varía la posible duración del contrato cambiando la duración mínima de un año (6 meses si lo establecía el convenio) y máxima de 3 años, para pasar a una mínima de 3 meses con un máximo de 2 años.</w:t>
      </w:r>
    </w:p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Se permite la contratación a tiempo parcial (antes no) y excepcionalmente la realización de trabajos nocturnos o a turnos si las actividades formativas no pueden desarrollarse en otros períodos.</w:t>
      </w:r>
    </w:p>
    <w:p w:rsidR="009F6445" w:rsidRPr="009F6445" w:rsidRDefault="009F6445" w:rsidP="009F6445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proofErr w:type="gramStart"/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Además</w:t>
      </w:r>
      <w:proofErr w:type="gramEnd"/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 xml:space="preserve"> se modifican las normas de cotización para este tipo de contratos (objeto de estudio en otros comentarios).</w:t>
      </w:r>
    </w:p>
    <w:p w:rsidR="009F6445" w:rsidRPr="009F6445" w:rsidRDefault="009F6445" w:rsidP="009F64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97300"/>
          <w:sz w:val="36"/>
          <w:szCs w:val="36"/>
          <w:lang w:val="es-ES" w:eastAsia="es-ES"/>
        </w:rPr>
      </w:pPr>
      <w:r w:rsidRPr="009F6445">
        <w:rPr>
          <w:rFonts w:ascii="Times New Roman" w:eastAsia="Times New Roman" w:hAnsi="Times New Roman" w:cs="Times New Roman"/>
          <w:color w:val="F97300"/>
          <w:sz w:val="36"/>
          <w:szCs w:val="36"/>
          <w:lang w:val="es-ES" w:eastAsia="es-ES"/>
        </w:rPr>
        <w:t>Contrato para la Obtención de la Práctica Profesional.</w:t>
      </w:r>
    </w:p>
    <w:p w:rsidR="009F6445" w:rsidRPr="009F6445" w:rsidRDefault="009F6445" w:rsidP="009F644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Entre otras novedades, podríamos destacar:</w:t>
      </w:r>
    </w:p>
    <w:p w:rsidR="009F6445" w:rsidRPr="009F6445" w:rsidRDefault="009F6445" w:rsidP="009F6445">
      <w:pPr>
        <w:numPr>
          <w:ilvl w:val="0"/>
          <w:numId w:val="6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Este nuevo tipo de contratos no podrán tener una duración superior a un año como hemos visto mientras antes la duración máxima estaba establecida en 2 años.</w:t>
      </w:r>
    </w:p>
    <w:p w:rsidR="009F6445" w:rsidRPr="009F6445" w:rsidRDefault="009F6445" w:rsidP="009F6445">
      <w:pPr>
        <w:numPr>
          <w:ilvl w:val="0"/>
          <w:numId w:val="6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Se reduce el margen de tiempo disponible para poder realizar este tipo de contratos. Con anterioridad a la reforma se disponía de los 5 años siguientes a la terminación de los estudios; ahora se queda en 3 años. Para personas con discapacidad este límite se reduce de 7 a 5 años.</w:t>
      </w:r>
    </w:p>
    <w:p w:rsidR="009F6445" w:rsidRPr="009F6445" w:rsidRDefault="009F6445" w:rsidP="009F6445">
      <w:pPr>
        <w:numPr>
          <w:ilvl w:val="0"/>
          <w:numId w:val="6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Con estos nuevos contratos el período de prueba se generaliza en un mes para todos los trabajadores, salvo lo dispuesto en convenio colectivo; mientras hasta la reforma cabía la posibilidad de ampliarse a 2 meses para los contratos en prácticas celebrados con trabajadores que estuviesen en posesión de título de grado superior o de certificado de profesionalidad de nivel 3.</w:t>
      </w:r>
    </w:p>
    <w:p w:rsidR="009F6445" w:rsidRPr="009F6445" w:rsidRDefault="009F6445" w:rsidP="009F6445">
      <w:pPr>
        <w:numPr>
          <w:ilvl w:val="0"/>
          <w:numId w:val="6"/>
        </w:num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</w:pPr>
      <w:r w:rsidRPr="009F6445">
        <w:rPr>
          <w:rFonts w:ascii="Arial" w:eastAsia="Times New Roman" w:hAnsi="Arial" w:cs="Arial"/>
          <w:color w:val="6C6C6C"/>
          <w:sz w:val="24"/>
          <w:szCs w:val="24"/>
          <w:lang w:val="es-ES" w:eastAsia="es-ES"/>
        </w:rPr>
        <w:t>Hasta la fecha se permitía reducir la retribución hasta un 60% el primer año y un 75% el segundo año del salario fijado en convenio para un trabajador que desempeñase el mismo o equivalente puesto de trabajo; la reforma elimina esta posibilidad de reducción y la fija en la establecida en el convenio colectivo para estos contratos o grupo profesional y nivel retributivo correspondiente a las funciones desempeñadas (sin que pueda ser inferior a la retribución mínima del contrato para la formación en alternancia ni al SMI en proporción al tiempo de trabajo efectivo).</w:t>
      </w:r>
    </w:p>
    <w:p w:rsidR="00165FD4" w:rsidRDefault="00165FD4"/>
    <w:sectPr w:rsidR="00165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A30"/>
    <w:multiLevelType w:val="multilevel"/>
    <w:tmpl w:val="BE8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60463"/>
    <w:multiLevelType w:val="multilevel"/>
    <w:tmpl w:val="FA9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509BE"/>
    <w:multiLevelType w:val="multilevel"/>
    <w:tmpl w:val="C29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B2B84"/>
    <w:multiLevelType w:val="multilevel"/>
    <w:tmpl w:val="64D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975A0"/>
    <w:multiLevelType w:val="multilevel"/>
    <w:tmpl w:val="9CF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66413"/>
    <w:multiLevelType w:val="multilevel"/>
    <w:tmpl w:val="D72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45"/>
    <w:rsid w:val="00165FD4"/>
    <w:rsid w:val="008459BA"/>
    <w:rsid w:val="009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A974-9751-4E68-8834-24CBDFF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499">
          <w:marLeft w:val="0"/>
          <w:marRight w:val="0"/>
          <w:marTop w:val="0"/>
          <w:marBottom w:val="0"/>
          <w:divBdr>
            <w:top w:val="single" w:sz="18" w:space="0" w:color="F2DEC4"/>
            <w:left w:val="single" w:sz="18" w:space="0" w:color="F2DEC4"/>
            <w:bottom w:val="single" w:sz="18" w:space="0" w:color="F2DEC4"/>
            <w:right w:val="single" w:sz="18" w:space="0" w:color="F2DEC4"/>
          </w:divBdr>
        </w:div>
        <w:div w:id="1398898144">
          <w:marLeft w:val="0"/>
          <w:marRight w:val="0"/>
          <w:marTop w:val="0"/>
          <w:marBottom w:val="0"/>
          <w:divBdr>
            <w:top w:val="single" w:sz="6" w:space="0" w:color="423222"/>
            <w:left w:val="single" w:sz="6" w:space="0" w:color="423222"/>
            <w:bottom w:val="single" w:sz="6" w:space="0" w:color="423222"/>
            <w:right w:val="single" w:sz="6" w:space="0" w:color="42322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boe/dias/2021/12/30/pdfs/BOE-A-2021-2178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</dc:creator>
  <cp:keywords/>
  <dc:description/>
  <cp:lastModifiedBy>FRANCESC</cp:lastModifiedBy>
  <cp:revision>3</cp:revision>
  <dcterms:created xsi:type="dcterms:W3CDTF">2022-01-18T12:14:00Z</dcterms:created>
  <dcterms:modified xsi:type="dcterms:W3CDTF">2022-02-25T18:22:00Z</dcterms:modified>
</cp:coreProperties>
</file>