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4758" w14:textId="4C3D6C64" w:rsidR="004059C2" w:rsidRPr="004059C2" w:rsidRDefault="005502F6" w:rsidP="004059C2">
      <w:pPr>
        <w:shd w:val="clear" w:color="auto" w:fill="FFFFFF"/>
        <w:spacing w:before="100" w:beforeAutospacing="1" w:after="100" w:afterAutospacing="1" w:line="240" w:lineRule="auto"/>
        <w:jc w:val="center"/>
        <w:outlineLvl w:val="0"/>
        <w:rPr>
          <w:rFonts w:ascii="Comic Sans MS" w:eastAsia="Times New Roman" w:hAnsi="Comic Sans MS" w:cs="Times New Roman"/>
          <w:caps/>
          <w:color w:val="F97300"/>
          <w:kern w:val="36"/>
          <w:sz w:val="48"/>
          <w:szCs w:val="48"/>
          <w:lang w:eastAsia="es-ES"/>
        </w:rPr>
      </w:pPr>
      <w:r w:rsidRPr="004059C2">
        <w:rPr>
          <w:rFonts w:ascii="Comic Sans MS" w:eastAsia="Times New Roman" w:hAnsi="Comic Sans MS" w:cs="Times New Roman"/>
          <w:caps/>
          <w:color w:val="F97300"/>
          <w:kern w:val="36"/>
          <w:sz w:val="48"/>
          <w:szCs w:val="48"/>
          <w:lang w:eastAsia="es-ES"/>
        </w:rPr>
        <w:t>Ya tenemos los nuevos plazos para la presentación de las cuentas anuales de 2019</w:t>
      </w:r>
    </w:p>
    <w:p w14:paraId="29CDE8DD" w14:textId="77777777" w:rsidR="005502F6" w:rsidRPr="004059C2" w:rsidRDefault="005502F6" w:rsidP="005502F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4059C2">
        <w:rPr>
          <w:rFonts w:ascii="Comic Sans MS" w:eastAsia="Times New Roman" w:hAnsi="Comic Sans MS" w:cs="Arial"/>
          <w:color w:val="6C6C6C"/>
          <w:sz w:val="28"/>
          <w:szCs w:val="28"/>
          <w:lang w:eastAsia="es-ES"/>
        </w:rPr>
        <w:t>Aunque todavía se encuentre vigente el estado de alarma y no conozcamos cuantas más prórrogas del mismo se puedan aprobar, ya sabemos los plazos definitivos para la formulación, aprobación y depósito de las cuentas anuales del ejercicio 2019, a realizar en 2020.</w:t>
      </w:r>
    </w:p>
    <w:p w14:paraId="5B6B393B" w14:textId="619E8E20" w:rsidR="005502F6" w:rsidRPr="004059C2" w:rsidRDefault="005502F6" w:rsidP="005502F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4059C2">
        <w:rPr>
          <w:rFonts w:ascii="Comic Sans MS" w:eastAsia="Times New Roman" w:hAnsi="Comic Sans MS" w:cs="Arial"/>
          <w:color w:val="6C6C6C"/>
          <w:sz w:val="28"/>
          <w:szCs w:val="28"/>
          <w:lang w:eastAsia="es-ES"/>
        </w:rPr>
        <w:t>Este hecho se debe a que el </w:t>
      </w:r>
      <w:r w:rsidRPr="004059C2">
        <w:rPr>
          <w:rFonts w:ascii="Comic Sans MS" w:eastAsia="Times New Roman" w:hAnsi="Comic Sans MS" w:cs="Arial"/>
          <w:b/>
          <w:bCs/>
          <w:color w:val="0084C4"/>
          <w:sz w:val="28"/>
          <w:szCs w:val="28"/>
          <w:lang w:eastAsia="es-ES"/>
        </w:rPr>
        <w:t>Real Decreto-ley 19/2020</w:t>
      </w:r>
      <w:r w:rsidRPr="004059C2">
        <w:rPr>
          <w:rFonts w:ascii="Comic Sans MS" w:eastAsia="Times New Roman" w:hAnsi="Comic Sans MS" w:cs="Arial"/>
          <w:color w:val="6C6C6C"/>
          <w:sz w:val="28"/>
          <w:szCs w:val="28"/>
          <w:lang w:eastAsia="es-ES"/>
        </w:rPr>
        <w:t>, de 26 de mayo, por el que se adoptan medidas complementarias en materia agraria, científica, económica, de empleo y Seguridad Social y tributarias para paliar los efectos del COVID-19 ha desvinculado del fin del estado de alarma la reanudación de los plazos societarios suspendidos por el Real Decreto-ley 8/2020, de 17 de marzo.</w:t>
      </w:r>
    </w:p>
    <w:p w14:paraId="54596305" w14:textId="66B8FD4E" w:rsidR="005502F6" w:rsidRPr="004059C2" w:rsidRDefault="005502F6" w:rsidP="005502F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4059C2">
        <w:rPr>
          <w:rFonts w:ascii="Comic Sans MS" w:eastAsia="Times New Roman" w:hAnsi="Comic Sans MS" w:cs="Arial"/>
          <w:color w:val="6C6C6C"/>
          <w:sz w:val="28"/>
          <w:szCs w:val="28"/>
          <w:lang w:eastAsia="es-ES"/>
        </w:rPr>
        <w:t>En concreto, se modifican los apartados 3 y 5 del artículo 40 del </w:t>
      </w:r>
      <w:r w:rsidRPr="004059C2">
        <w:rPr>
          <w:rFonts w:ascii="Comic Sans MS" w:eastAsia="Times New Roman" w:hAnsi="Comic Sans MS" w:cs="Arial"/>
          <w:b/>
          <w:bCs/>
          <w:color w:val="0084C4"/>
          <w:sz w:val="28"/>
          <w:szCs w:val="28"/>
          <w:lang w:eastAsia="es-ES"/>
        </w:rPr>
        <w:t>Real Decreto-ley 8/2020</w:t>
      </w:r>
      <w:r w:rsidRPr="004059C2">
        <w:rPr>
          <w:rFonts w:ascii="Comic Sans MS" w:eastAsia="Times New Roman" w:hAnsi="Comic Sans MS" w:cs="Arial"/>
          <w:color w:val="6C6C6C"/>
          <w:sz w:val="28"/>
          <w:szCs w:val="28"/>
          <w:lang w:eastAsia="es-ES"/>
        </w:rPr>
        <w:t> con los siguientes resultados:</w:t>
      </w:r>
    </w:p>
    <w:p w14:paraId="04389275" w14:textId="77777777" w:rsidR="005502F6" w:rsidRPr="004059C2" w:rsidRDefault="005502F6" w:rsidP="005502F6">
      <w:pPr>
        <w:numPr>
          <w:ilvl w:val="0"/>
          <w:numId w:val="2"/>
        </w:numPr>
        <w:shd w:val="clear" w:color="auto" w:fill="FFFFFF"/>
        <w:spacing w:beforeAutospacing="1" w:after="0" w:afterAutospacing="1" w:line="240" w:lineRule="auto"/>
        <w:ind w:firstLine="0"/>
        <w:jc w:val="both"/>
        <w:rPr>
          <w:rFonts w:ascii="Comic Sans MS" w:eastAsia="Times New Roman" w:hAnsi="Comic Sans MS" w:cs="Arial"/>
          <w:color w:val="6C6C6C"/>
          <w:sz w:val="28"/>
          <w:szCs w:val="28"/>
          <w:lang w:eastAsia="es-ES"/>
        </w:rPr>
      </w:pPr>
      <w:r w:rsidRPr="004059C2">
        <w:rPr>
          <w:rFonts w:ascii="Comic Sans MS" w:eastAsia="Times New Roman" w:hAnsi="Comic Sans MS" w:cs="Arial"/>
          <w:color w:val="6C6C6C"/>
          <w:sz w:val="28"/>
          <w:szCs w:val="28"/>
          <w:lang w:eastAsia="es-ES"/>
        </w:rPr>
        <w:t>El 1 de junio de 2020 se reanuda de nuevo el plazo de tres meses para formular las cuentas anuales.</w:t>
      </w:r>
    </w:p>
    <w:p w14:paraId="09574B9A" w14:textId="77777777" w:rsidR="005502F6" w:rsidRPr="004059C2" w:rsidRDefault="005502F6" w:rsidP="005502F6">
      <w:pPr>
        <w:numPr>
          <w:ilvl w:val="0"/>
          <w:numId w:val="2"/>
        </w:numPr>
        <w:shd w:val="clear" w:color="auto" w:fill="FFFFFF"/>
        <w:spacing w:beforeAutospacing="1" w:after="0" w:afterAutospacing="1" w:line="240" w:lineRule="auto"/>
        <w:ind w:firstLine="0"/>
        <w:jc w:val="both"/>
        <w:rPr>
          <w:rFonts w:ascii="Comic Sans MS" w:eastAsia="Times New Roman" w:hAnsi="Comic Sans MS" w:cs="Arial"/>
          <w:color w:val="6C6C6C"/>
          <w:sz w:val="28"/>
          <w:szCs w:val="28"/>
          <w:lang w:eastAsia="es-ES"/>
        </w:rPr>
      </w:pPr>
      <w:r w:rsidRPr="004059C2">
        <w:rPr>
          <w:rFonts w:ascii="Comic Sans MS" w:eastAsia="Times New Roman" w:hAnsi="Comic Sans MS" w:cs="Arial"/>
          <w:color w:val="6C6C6C"/>
          <w:sz w:val="28"/>
          <w:szCs w:val="28"/>
          <w:lang w:eastAsia="es-ES"/>
        </w:rPr>
        <w:t>Se reduce a dos meses el plazo para aprobar las cuentas anuales, a contar desde que finalice el plazo para formular las cuentas anuales.</w:t>
      </w:r>
    </w:p>
    <w:p w14:paraId="74FC1627" w14:textId="37CF8E81" w:rsidR="005502F6" w:rsidRPr="004059C2" w:rsidRDefault="005502F6" w:rsidP="005502F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4059C2">
        <w:rPr>
          <w:rFonts w:ascii="Comic Sans MS" w:eastAsia="Times New Roman" w:hAnsi="Comic Sans MS" w:cs="Arial"/>
          <w:color w:val="6C6C6C"/>
          <w:sz w:val="28"/>
          <w:szCs w:val="28"/>
          <w:lang w:eastAsia="es-ES"/>
        </w:rPr>
        <w:t xml:space="preserve">Además, aunque no se considera expresamente en la nueva norma, el 1 de junio también se inicia el plazo de cuatro meses para la legalización de libros, de acuerdo con la interpretación que realizó la Dirección General de Seguridad Jurídica y </w:t>
      </w:r>
      <w:r w:rsidR="004059C2" w:rsidRPr="004059C2">
        <w:rPr>
          <w:rFonts w:ascii="Comic Sans MS" w:eastAsia="Times New Roman" w:hAnsi="Comic Sans MS" w:cs="Arial"/>
          <w:color w:val="6C6C6C"/>
          <w:sz w:val="28"/>
          <w:szCs w:val="28"/>
          <w:lang w:eastAsia="es-ES"/>
        </w:rPr>
        <w:t>Fe</w:t>
      </w:r>
      <w:r w:rsidRPr="004059C2">
        <w:rPr>
          <w:rFonts w:ascii="Comic Sans MS" w:eastAsia="Times New Roman" w:hAnsi="Comic Sans MS" w:cs="Arial"/>
          <w:color w:val="6C6C6C"/>
          <w:sz w:val="28"/>
          <w:szCs w:val="28"/>
          <w:lang w:eastAsia="es-ES"/>
        </w:rPr>
        <w:t xml:space="preserve"> Pública en su </w:t>
      </w:r>
      <w:r w:rsidRPr="004059C2">
        <w:rPr>
          <w:rFonts w:ascii="Comic Sans MS" w:eastAsia="Times New Roman" w:hAnsi="Comic Sans MS" w:cs="Arial"/>
          <w:b/>
          <w:bCs/>
          <w:color w:val="0084C4"/>
          <w:sz w:val="28"/>
          <w:szCs w:val="28"/>
          <w:lang w:eastAsia="es-ES"/>
        </w:rPr>
        <w:t>resolución de 10 de abril de 2020</w:t>
      </w:r>
      <w:r w:rsidRPr="004059C2">
        <w:rPr>
          <w:rFonts w:ascii="Comic Sans MS" w:eastAsia="Times New Roman" w:hAnsi="Comic Sans MS" w:cs="Arial"/>
          <w:color w:val="6C6C6C"/>
          <w:sz w:val="28"/>
          <w:szCs w:val="28"/>
          <w:lang w:eastAsia="es-ES"/>
        </w:rPr>
        <w:t> sobre el impacto que en relación a la legalización de los libros de empresarios resulta del artículo 40 del Real Decreto Ley 8/2020, comentada en un </w:t>
      </w:r>
      <w:r w:rsidRPr="004059C2">
        <w:rPr>
          <w:rFonts w:ascii="Comic Sans MS" w:eastAsia="Times New Roman" w:hAnsi="Comic Sans MS" w:cs="Arial"/>
          <w:b/>
          <w:bCs/>
          <w:color w:val="0084C4"/>
          <w:sz w:val="28"/>
          <w:szCs w:val="28"/>
          <w:lang w:eastAsia="es-ES"/>
        </w:rPr>
        <w:t>artículo anterior</w:t>
      </w:r>
      <w:r w:rsidRPr="004059C2">
        <w:rPr>
          <w:rFonts w:ascii="Comic Sans MS" w:eastAsia="Times New Roman" w:hAnsi="Comic Sans MS" w:cs="Arial"/>
          <w:color w:val="6C6C6C"/>
          <w:sz w:val="28"/>
          <w:szCs w:val="28"/>
          <w:lang w:eastAsia="es-ES"/>
        </w:rPr>
        <w:t>.</w:t>
      </w:r>
    </w:p>
    <w:p w14:paraId="05EAD3C0" w14:textId="77777777" w:rsidR="005502F6" w:rsidRPr="004059C2" w:rsidRDefault="005502F6" w:rsidP="005502F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4059C2">
        <w:rPr>
          <w:rFonts w:ascii="Comic Sans MS" w:eastAsia="Times New Roman" w:hAnsi="Comic Sans MS" w:cs="Arial"/>
          <w:color w:val="6C6C6C"/>
          <w:sz w:val="28"/>
          <w:szCs w:val="28"/>
          <w:lang w:eastAsia="es-ES"/>
        </w:rPr>
        <w:t>En consecuencia, nos queda el 30 de noviembre de 2020 como fecha límite para depositar las cuentas anuales de 2019 en plazo siempre que la aprobación de las cuentas se hubiera realizado el último día del plazo fijado, esto es, el 31 de octubre de 2020, dos meses después de terminar el plazo de tres meses para formular las cuentas anuales.</w:t>
      </w:r>
    </w:p>
    <w:tbl>
      <w:tblPr>
        <w:tblW w:w="4750" w:type="pct"/>
        <w:tblBorders>
          <w:top w:val="single" w:sz="6" w:space="0" w:color="F2DEC4"/>
          <w:left w:val="single" w:sz="6" w:space="0" w:color="F2DEC4"/>
          <w:bottom w:val="single" w:sz="6" w:space="0" w:color="F2DEC4"/>
          <w:right w:val="single" w:sz="6" w:space="0" w:color="F2DEC4"/>
        </w:tblBorders>
        <w:shd w:val="clear" w:color="auto" w:fill="FFFFFF"/>
        <w:tblCellMar>
          <w:left w:w="0" w:type="dxa"/>
          <w:right w:w="0" w:type="dxa"/>
        </w:tblCellMar>
        <w:tblLook w:val="04A0" w:firstRow="1" w:lastRow="0" w:firstColumn="1" w:lastColumn="0" w:noHBand="0" w:noVBand="1"/>
      </w:tblPr>
      <w:tblGrid>
        <w:gridCol w:w="4506"/>
        <w:gridCol w:w="3558"/>
      </w:tblGrid>
      <w:tr w:rsidR="005502F6" w:rsidRPr="004059C2" w14:paraId="13BB864B" w14:textId="77777777" w:rsidTr="005502F6">
        <w:tc>
          <w:tcPr>
            <w:tcW w:w="0" w:type="auto"/>
            <w:gridSpan w:val="2"/>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1CCA30B6" w14:textId="77777777" w:rsidR="005502F6" w:rsidRPr="004059C2" w:rsidRDefault="005502F6" w:rsidP="005502F6">
            <w:pPr>
              <w:spacing w:after="0" w:line="240" w:lineRule="auto"/>
              <w:jc w:val="both"/>
              <w:rPr>
                <w:rFonts w:ascii="Comic Sans MS" w:eastAsia="Times New Roman" w:hAnsi="Comic Sans MS" w:cs="Arial"/>
                <w:color w:val="6C6C6C"/>
                <w:sz w:val="28"/>
                <w:szCs w:val="28"/>
                <w:lang w:eastAsia="es-ES"/>
              </w:rPr>
            </w:pPr>
            <w:r w:rsidRPr="004059C2">
              <w:rPr>
                <w:rFonts w:ascii="Comic Sans MS" w:eastAsia="Times New Roman" w:hAnsi="Comic Sans MS" w:cs="Arial"/>
                <w:b/>
                <w:bCs/>
                <w:color w:val="6C6C6C"/>
                <w:sz w:val="28"/>
                <w:szCs w:val="28"/>
                <w:lang w:eastAsia="es-ES"/>
              </w:rPr>
              <w:t>Cuentas anuales 2019</w:t>
            </w:r>
          </w:p>
        </w:tc>
      </w:tr>
      <w:tr w:rsidR="005502F6" w:rsidRPr="004059C2" w14:paraId="3AC9093B" w14:textId="77777777" w:rsidTr="005502F6">
        <w:tc>
          <w:tcPr>
            <w:tcW w:w="0" w:type="auto"/>
            <w:tcBorders>
              <w:top w:val="single" w:sz="6" w:space="0" w:color="FFFFFF"/>
              <w:left w:val="single" w:sz="6" w:space="0" w:color="F2DEC4"/>
              <w:bottom w:val="single" w:sz="6" w:space="0" w:color="FFFFFF"/>
              <w:right w:val="single" w:sz="6" w:space="0" w:color="FFFFFF"/>
            </w:tcBorders>
            <w:shd w:val="clear" w:color="auto" w:fill="F2DEC4"/>
            <w:vAlign w:val="center"/>
            <w:hideMark/>
          </w:tcPr>
          <w:p w14:paraId="1C1BAC5C" w14:textId="77777777" w:rsidR="005502F6" w:rsidRPr="004059C2" w:rsidRDefault="005502F6" w:rsidP="005502F6">
            <w:pPr>
              <w:spacing w:after="0" w:line="240" w:lineRule="auto"/>
              <w:jc w:val="center"/>
              <w:rPr>
                <w:rFonts w:ascii="Comic Sans MS" w:eastAsia="Times New Roman" w:hAnsi="Comic Sans MS" w:cs="Times New Roman"/>
                <w:color w:val="423222"/>
                <w:sz w:val="28"/>
                <w:szCs w:val="28"/>
                <w:lang w:eastAsia="es-ES"/>
              </w:rPr>
            </w:pPr>
            <w:r w:rsidRPr="004059C2">
              <w:rPr>
                <w:rFonts w:ascii="Comic Sans MS" w:eastAsia="Times New Roman" w:hAnsi="Comic Sans MS" w:cs="Times New Roman"/>
                <w:b/>
                <w:bCs/>
                <w:color w:val="423222"/>
                <w:sz w:val="28"/>
                <w:szCs w:val="28"/>
                <w:lang w:eastAsia="es-ES"/>
              </w:rPr>
              <w:t>Trámite</w:t>
            </w:r>
          </w:p>
        </w:tc>
        <w:tc>
          <w:tcPr>
            <w:tcW w:w="0" w:type="auto"/>
            <w:tcBorders>
              <w:top w:val="single" w:sz="6" w:space="0" w:color="FFFFFF"/>
              <w:left w:val="single" w:sz="6" w:space="0" w:color="FFFFFF"/>
              <w:bottom w:val="single" w:sz="6" w:space="0" w:color="FFFFFF"/>
              <w:right w:val="single" w:sz="6" w:space="0" w:color="F2DEC4"/>
            </w:tcBorders>
            <w:shd w:val="clear" w:color="auto" w:fill="F2DEC4"/>
            <w:vAlign w:val="center"/>
            <w:hideMark/>
          </w:tcPr>
          <w:p w14:paraId="6CB01957" w14:textId="77777777" w:rsidR="005502F6" w:rsidRPr="004059C2" w:rsidRDefault="005502F6" w:rsidP="005502F6">
            <w:pPr>
              <w:spacing w:after="0" w:line="240" w:lineRule="auto"/>
              <w:jc w:val="center"/>
              <w:rPr>
                <w:rFonts w:ascii="Comic Sans MS" w:eastAsia="Times New Roman" w:hAnsi="Comic Sans MS" w:cs="Times New Roman"/>
                <w:color w:val="423222"/>
                <w:sz w:val="28"/>
                <w:szCs w:val="28"/>
                <w:lang w:eastAsia="es-ES"/>
              </w:rPr>
            </w:pPr>
            <w:r w:rsidRPr="004059C2">
              <w:rPr>
                <w:rFonts w:ascii="Comic Sans MS" w:eastAsia="Times New Roman" w:hAnsi="Comic Sans MS" w:cs="Times New Roman"/>
                <w:b/>
                <w:bCs/>
                <w:color w:val="423222"/>
                <w:sz w:val="28"/>
                <w:szCs w:val="28"/>
                <w:lang w:eastAsia="es-ES"/>
              </w:rPr>
              <w:t>Plazo máximo</w:t>
            </w:r>
          </w:p>
        </w:tc>
      </w:tr>
      <w:tr w:rsidR="005502F6" w:rsidRPr="004059C2" w14:paraId="6D35BD22" w14:textId="77777777" w:rsidTr="005502F6">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D73E231" w14:textId="77777777" w:rsidR="005502F6" w:rsidRPr="004059C2" w:rsidRDefault="005502F6" w:rsidP="005502F6">
            <w:pPr>
              <w:spacing w:after="0" w:line="240" w:lineRule="auto"/>
              <w:jc w:val="center"/>
              <w:rPr>
                <w:rFonts w:ascii="Comic Sans MS" w:eastAsia="Times New Roman" w:hAnsi="Comic Sans MS" w:cs="Arial"/>
                <w:color w:val="6C6C6C"/>
                <w:sz w:val="28"/>
                <w:szCs w:val="28"/>
                <w:lang w:eastAsia="es-ES"/>
              </w:rPr>
            </w:pPr>
            <w:r w:rsidRPr="004059C2">
              <w:rPr>
                <w:rFonts w:ascii="Comic Sans MS" w:eastAsia="Times New Roman" w:hAnsi="Comic Sans MS" w:cs="Arial"/>
                <w:color w:val="6C6C6C"/>
                <w:sz w:val="28"/>
                <w:szCs w:val="28"/>
                <w:lang w:eastAsia="es-ES"/>
              </w:rPr>
              <w:t>Formulación de las Cuentas Anuales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71B94FC2" w14:textId="77777777" w:rsidR="005502F6" w:rsidRPr="004059C2" w:rsidRDefault="005502F6" w:rsidP="005502F6">
            <w:pPr>
              <w:spacing w:after="0" w:line="240" w:lineRule="auto"/>
              <w:jc w:val="center"/>
              <w:rPr>
                <w:rFonts w:ascii="Comic Sans MS" w:eastAsia="Times New Roman" w:hAnsi="Comic Sans MS" w:cs="Arial"/>
                <w:color w:val="6C6C6C"/>
                <w:sz w:val="28"/>
                <w:szCs w:val="28"/>
                <w:lang w:eastAsia="es-ES"/>
              </w:rPr>
            </w:pPr>
            <w:r w:rsidRPr="004059C2">
              <w:rPr>
                <w:rFonts w:ascii="Comic Sans MS" w:eastAsia="Times New Roman" w:hAnsi="Comic Sans MS" w:cs="Arial"/>
                <w:color w:val="6C6C6C"/>
                <w:sz w:val="28"/>
                <w:szCs w:val="28"/>
                <w:lang w:eastAsia="es-ES"/>
              </w:rPr>
              <w:t>31 de agosto de 2020</w:t>
            </w:r>
          </w:p>
        </w:tc>
      </w:tr>
      <w:tr w:rsidR="005502F6" w:rsidRPr="004059C2" w14:paraId="07619AA6" w14:textId="77777777" w:rsidTr="005502F6">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1A5C4B3" w14:textId="77777777" w:rsidR="005502F6" w:rsidRPr="004059C2" w:rsidRDefault="005502F6" w:rsidP="005502F6">
            <w:pPr>
              <w:spacing w:after="0" w:line="240" w:lineRule="auto"/>
              <w:jc w:val="center"/>
              <w:rPr>
                <w:rFonts w:ascii="Comic Sans MS" w:eastAsia="Times New Roman" w:hAnsi="Comic Sans MS" w:cs="Arial"/>
                <w:color w:val="6C6C6C"/>
                <w:sz w:val="28"/>
                <w:szCs w:val="28"/>
                <w:lang w:eastAsia="es-ES"/>
              </w:rPr>
            </w:pPr>
            <w:r w:rsidRPr="004059C2">
              <w:rPr>
                <w:rFonts w:ascii="Comic Sans MS" w:eastAsia="Times New Roman" w:hAnsi="Comic Sans MS" w:cs="Arial"/>
                <w:color w:val="6C6C6C"/>
                <w:sz w:val="28"/>
                <w:szCs w:val="28"/>
                <w:lang w:eastAsia="es-ES"/>
              </w:rPr>
              <w:t>Legalización de libros oficiales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0F77F0E8" w14:textId="77777777" w:rsidR="005502F6" w:rsidRPr="004059C2" w:rsidRDefault="005502F6" w:rsidP="005502F6">
            <w:pPr>
              <w:spacing w:after="0" w:line="240" w:lineRule="auto"/>
              <w:jc w:val="center"/>
              <w:rPr>
                <w:rFonts w:ascii="Comic Sans MS" w:eastAsia="Times New Roman" w:hAnsi="Comic Sans MS" w:cs="Arial"/>
                <w:color w:val="6C6C6C"/>
                <w:sz w:val="28"/>
                <w:szCs w:val="28"/>
                <w:lang w:eastAsia="es-ES"/>
              </w:rPr>
            </w:pPr>
            <w:r w:rsidRPr="004059C2">
              <w:rPr>
                <w:rFonts w:ascii="Comic Sans MS" w:eastAsia="Times New Roman" w:hAnsi="Comic Sans MS" w:cs="Arial"/>
                <w:color w:val="6C6C6C"/>
                <w:sz w:val="28"/>
                <w:szCs w:val="28"/>
                <w:lang w:eastAsia="es-ES"/>
              </w:rPr>
              <w:t>30 de septiembre de 2020</w:t>
            </w:r>
          </w:p>
        </w:tc>
      </w:tr>
      <w:tr w:rsidR="005502F6" w:rsidRPr="004059C2" w14:paraId="61E03EE7" w14:textId="77777777" w:rsidTr="005502F6">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67685C8" w14:textId="77777777" w:rsidR="005502F6" w:rsidRPr="004059C2" w:rsidRDefault="005502F6" w:rsidP="005502F6">
            <w:pPr>
              <w:spacing w:after="0" w:line="240" w:lineRule="auto"/>
              <w:jc w:val="center"/>
              <w:rPr>
                <w:rFonts w:ascii="Comic Sans MS" w:eastAsia="Times New Roman" w:hAnsi="Comic Sans MS" w:cs="Arial"/>
                <w:color w:val="6C6C6C"/>
                <w:sz w:val="28"/>
                <w:szCs w:val="28"/>
                <w:lang w:eastAsia="es-ES"/>
              </w:rPr>
            </w:pPr>
            <w:r w:rsidRPr="004059C2">
              <w:rPr>
                <w:rFonts w:ascii="Comic Sans MS" w:eastAsia="Times New Roman" w:hAnsi="Comic Sans MS" w:cs="Arial"/>
                <w:color w:val="6C6C6C"/>
                <w:sz w:val="28"/>
                <w:szCs w:val="28"/>
                <w:lang w:eastAsia="es-ES"/>
              </w:rPr>
              <w:t>Aprobación de las Cuentas Anuales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BF71B54" w14:textId="77777777" w:rsidR="005502F6" w:rsidRPr="004059C2" w:rsidRDefault="005502F6" w:rsidP="005502F6">
            <w:pPr>
              <w:spacing w:after="0" w:line="240" w:lineRule="auto"/>
              <w:jc w:val="center"/>
              <w:rPr>
                <w:rFonts w:ascii="Comic Sans MS" w:eastAsia="Times New Roman" w:hAnsi="Comic Sans MS" w:cs="Arial"/>
                <w:color w:val="6C6C6C"/>
                <w:sz w:val="28"/>
                <w:szCs w:val="28"/>
                <w:lang w:eastAsia="es-ES"/>
              </w:rPr>
            </w:pPr>
            <w:r w:rsidRPr="004059C2">
              <w:rPr>
                <w:rFonts w:ascii="Comic Sans MS" w:eastAsia="Times New Roman" w:hAnsi="Comic Sans MS" w:cs="Arial"/>
                <w:color w:val="6C6C6C"/>
                <w:sz w:val="28"/>
                <w:szCs w:val="28"/>
                <w:lang w:eastAsia="es-ES"/>
              </w:rPr>
              <w:t>31 de octubre de 2020</w:t>
            </w:r>
          </w:p>
        </w:tc>
      </w:tr>
      <w:tr w:rsidR="005502F6" w:rsidRPr="004059C2" w14:paraId="5944AF3C" w14:textId="77777777" w:rsidTr="005502F6">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72DA1881" w14:textId="77777777" w:rsidR="005502F6" w:rsidRPr="004059C2" w:rsidRDefault="005502F6" w:rsidP="005502F6">
            <w:pPr>
              <w:spacing w:after="0" w:line="240" w:lineRule="auto"/>
              <w:jc w:val="center"/>
              <w:rPr>
                <w:rFonts w:ascii="Comic Sans MS" w:eastAsia="Times New Roman" w:hAnsi="Comic Sans MS" w:cs="Arial"/>
                <w:color w:val="6C6C6C"/>
                <w:sz w:val="28"/>
                <w:szCs w:val="28"/>
                <w:lang w:eastAsia="es-ES"/>
              </w:rPr>
            </w:pPr>
            <w:r w:rsidRPr="004059C2">
              <w:rPr>
                <w:rFonts w:ascii="Comic Sans MS" w:eastAsia="Times New Roman" w:hAnsi="Comic Sans MS" w:cs="Arial"/>
                <w:color w:val="6C6C6C"/>
                <w:sz w:val="28"/>
                <w:szCs w:val="28"/>
                <w:lang w:eastAsia="es-ES"/>
              </w:rPr>
              <w:t>Depósito de las Cuentas Anuales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33EAFEFB" w14:textId="77777777" w:rsidR="005502F6" w:rsidRPr="004059C2" w:rsidRDefault="005502F6" w:rsidP="005502F6">
            <w:pPr>
              <w:spacing w:after="0" w:line="240" w:lineRule="auto"/>
              <w:jc w:val="center"/>
              <w:rPr>
                <w:rFonts w:ascii="Comic Sans MS" w:eastAsia="Times New Roman" w:hAnsi="Comic Sans MS" w:cs="Arial"/>
                <w:color w:val="6C6C6C"/>
                <w:sz w:val="28"/>
                <w:szCs w:val="28"/>
                <w:lang w:eastAsia="es-ES"/>
              </w:rPr>
            </w:pPr>
            <w:r w:rsidRPr="004059C2">
              <w:rPr>
                <w:rFonts w:ascii="Comic Sans MS" w:eastAsia="Times New Roman" w:hAnsi="Comic Sans MS" w:cs="Arial"/>
                <w:color w:val="6C6C6C"/>
                <w:sz w:val="28"/>
                <w:szCs w:val="28"/>
                <w:lang w:eastAsia="es-ES"/>
              </w:rPr>
              <w:t>30 de noviembre de 2020</w:t>
            </w:r>
          </w:p>
        </w:tc>
      </w:tr>
      <w:tr w:rsidR="005502F6" w:rsidRPr="004059C2" w14:paraId="0F3848B5" w14:textId="77777777" w:rsidTr="005502F6">
        <w:tc>
          <w:tcPr>
            <w:tcW w:w="0" w:type="auto"/>
            <w:gridSpan w:val="2"/>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3B0378A6" w14:textId="77777777" w:rsidR="005502F6" w:rsidRPr="004059C2" w:rsidRDefault="005502F6" w:rsidP="005502F6">
            <w:pPr>
              <w:spacing w:after="0" w:line="240" w:lineRule="auto"/>
              <w:jc w:val="both"/>
              <w:rPr>
                <w:rFonts w:ascii="Comic Sans MS" w:eastAsia="Times New Roman" w:hAnsi="Comic Sans MS" w:cs="Arial"/>
                <w:color w:val="6C6C6C"/>
                <w:sz w:val="28"/>
                <w:szCs w:val="28"/>
                <w:lang w:eastAsia="es-ES"/>
              </w:rPr>
            </w:pPr>
            <w:r w:rsidRPr="004059C2">
              <w:rPr>
                <w:rFonts w:ascii="Comic Sans MS" w:eastAsia="Times New Roman" w:hAnsi="Comic Sans MS" w:cs="Arial"/>
                <w:color w:val="6C6C6C"/>
                <w:sz w:val="28"/>
                <w:szCs w:val="28"/>
                <w:lang w:eastAsia="es-ES"/>
              </w:rPr>
              <w:t>Se considerará válida y en plazo la formulación, aprobación y depósito de las cuentas con anterioridad</w:t>
            </w:r>
          </w:p>
        </w:tc>
      </w:tr>
    </w:tbl>
    <w:p w14:paraId="3A90550C" w14:textId="7D844CEB" w:rsidR="004059C2" w:rsidRDefault="005502F6" w:rsidP="005502F6">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4059C2">
        <w:rPr>
          <w:rFonts w:ascii="Comic Sans MS" w:eastAsia="Times New Roman" w:hAnsi="Comic Sans MS" w:cs="Arial"/>
          <w:color w:val="6C6C6C"/>
          <w:sz w:val="28"/>
          <w:szCs w:val="28"/>
          <w:lang w:eastAsia="es-ES"/>
        </w:rPr>
        <w:t xml:space="preserve">A </w:t>
      </w:r>
      <w:r w:rsidR="004059C2" w:rsidRPr="004059C2">
        <w:rPr>
          <w:rFonts w:ascii="Comic Sans MS" w:eastAsia="Times New Roman" w:hAnsi="Comic Sans MS" w:cs="Arial"/>
          <w:color w:val="6C6C6C"/>
          <w:sz w:val="28"/>
          <w:szCs w:val="28"/>
          <w:lang w:eastAsia="es-ES"/>
        </w:rPr>
        <w:t>continuación,</w:t>
      </w:r>
      <w:r w:rsidRPr="004059C2">
        <w:rPr>
          <w:rFonts w:ascii="Comic Sans MS" w:eastAsia="Times New Roman" w:hAnsi="Comic Sans MS" w:cs="Arial"/>
          <w:color w:val="6C6C6C"/>
          <w:sz w:val="28"/>
          <w:szCs w:val="28"/>
          <w:lang w:eastAsia="es-ES"/>
        </w:rPr>
        <w:t xml:space="preserve"> puede ver de forma gráfica cómo el COVID-19 y las medidas tomadas para hacerle frente han influido en los plazos para la formulación y aprobación de las cuentas anuales en comparación con los años anteriores:</w:t>
      </w:r>
    </w:p>
    <w:p w14:paraId="7D49F768" w14:textId="309AB7F7" w:rsidR="005502F6" w:rsidRPr="004059C2" w:rsidRDefault="005502F6" w:rsidP="005502F6">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4059C2">
        <w:rPr>
          <w:rFonts w:ascii="Comic Sans MS" w:eastAsia="Times New Roman" w:hAnsi="Comic Sans MS" w:cs="Arial"/>
          <w:noProof/>
          <w:color w:val="6C6C6C"/>
          <w:sz w:val="28"/>
          <w:szCs w:val="28"/>
          <w:lang w:eastAsia="es-ES"/>
        </w:rPr>
        <w:drawing>
          <wp:inline distT="0" distB="0" distL="0" distR="0" wp14:anchorId="03659A58" wp14:editId="6BDEE447">
            <wp:extent cx="8091805" cy="5641975"/>
            <wp:effectExtent l="0" t="0" r="4445" b="0"/>
            <wp:docPr id="2" name="Imagen 2" descr="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c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1805" cy="5641975"/>
                    </a:xfrm>
                    <a:prstGeom prst="rect">
                      <a:avLst/>
                    </a:prstGeom>
                    <a:noFill/>
                    <a:ln>
                      <a:noFill/>
                    </a:ln>
                  </pic:spPr>
                </pic:pic>
              </a:graphicData>
            </a:graphic>
          </wp:inline>
        </w:drawing>
      </w:r>
    </w:p>
    <w:p w14:paraId="19A53EB4" w14:textId="107EE392" w:rsidR="005502F6" w:rsidRPr="004059C2" w:rsidRDefault="005502F6" w:rsidP="005502F6">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4059C2">
        <w:rPr>
          <w:rFonts w:ascii="Comic Sans MS" w:eastAsia="Times New Roman" w:hAnsi="Comic Sans MS" w:cs="Arial"/>
          <w:color w:val="6C6C6C"/>
          <w:sz w:val="28"/>
          <w:szCs w:val="28"/>
          <w:lang w:eastAsia="es-ES"/>
        </w:rPr>
        <w:t>Así, el 1 de junio de 2020 se ha convertido en una fecha clave a la hora del cómputo de plazos. Si el Real Decreto 537/2020 consideraba esta fecha para el </w:t>
      </w:r>
      <w:r w:rsidRPr="004059C2">
        <w:rPr>
          <w:rFonts w:ascii="Comic Sans MS" w:eastAsia="Times New Roman" w:hAnsi="Comic Sans MS" w:cs="Arial"/>
          <w:b/>
          <w:bCs/>
          <w:color w:val="0084C4"/>
          <w:sz w:val="28"/>
          <w:szCs w:val="28"/>
          <w:lang w:eastAsia="es-ES"/>
        </w:rPr>
        <w:t>levantamiento de los plazos administrativos suspendidos</w:t>
      </w:r>
      <w:r w:rsidRPr="004059C2">
        <w:rPr>
          <w:rFonts w:ascii="Comic Sans MS" w:eastAsia="Times New Roman" w:hAnsi="Comic Sans MS" w:cs="Arial"/>
          <w:color w:val="6C6C6C"/>
          <w:sz w:val="28"/>
          <w:szCs w:val="28"/>
          <w:lang w:eastAsia="es-ES"/>
        </w:rPr>
        <w:t>, el Real Decreto-ley 19/2020 establece esta fecha como fin de la suspensión de los plazos para formular y aprobar las cuentas anuales, reanudándose de nuevo a contar desde esa fecha.</w:t>
      </w:r>
    </w:p>
    <w:p w14:paraId="39FAC74C" w14:textId="64EA76B3" w:rsidR="005502F6" w:rsidRPr="004059C2" w:rsidRDefault="005502F6" w:rsidP="004059C2">
      <w:pPr>
        <w:shd w:val="clear" w:color="auto" w:fill="FDF4EB"/>
        <w:spacing w:after="0" w:line="240" w:lineRule="auto"/>
        <w:jc w:val="both"/>
        <w:rPr>
          <w:rFonts w:ascii="Comic Sans MS" w:hAnsi="Comic Sans MS"/>
          <w:sz w:val="28"/>
          <w:szCs w:val="28"/>
        </w:rPr>
      </w:pPr>
      <w:r w:rsidRPr="004059C2">
        <w:rPr>
          <w:rFonts w:ascii="Comic Sans MS" w:eastAsia="Times New Roman" w:hAnsi="Comic Sans MS" w:cs="Arial"/>
          <w:i/>
          <w:iCs/>
          <w:noProof/>
          <w:color w:val="6C6C6C"/>
          <w:sz w:val="28"/>
          <w:szCs w:val="28"/>
          <w:lang w:eastAsia="es-ES"/>
        </w:rPr>
        <w:drawing>
          <wp:inline distT="0" distB="0" distL="0" distR="0" wp14:anchorId="60E86E7A" wp14:editId="4FE333BB">
            <wp:extent cx="664210" cy="664210"/>
            <wp:effectExtent l="0" t="0" r="2540" b="2540"/>
            <wp:docPr id="3" name="Imagen 3" descr="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c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inline>
        </w:drawing>
      </w:r>
      <w:r w:rsidRPr="004059C2">
        <w:rPr>
          <w:rFonts w:ascii="Comic Sans MS" w:eastAsia="Times New Roman" w:hAnsi="Comic Sans MS" w:cs="Arial"/>
          <w:i/>
          <w:iCs/>
          <w:color w:val="6C6C6C"/>
          <w:sz w:val="28"/>
          <w:szCs w:val="28"/>
          <w:lang w:eastAsia="es-ES"/>
        </w:rPr>
        <w:t>También se ha resuelto la incógnita que existía sobre la declaración del Impuesto sobre Sociedades (modelo 200) sin haber aprobado las cuentas anuales. Se mantiene el plazo legal establecido (entre el 1 y el 27 de julio de 2020 para la declaración del ejercicio 2019) pero se permite presentar una segunda declaración sin recargo hasta el 30 de noviembre de 2020 para tener en cuenta los cambios que se produzcan en las cuentas anuales aprobadas</w:t>
      </w:r>
      <w:r w:rsidR="004059C2">
        <w:rPr>
          <w:rFonts w:ascii="Comic Sans MS" w:eastAsia="Times New Roman" w:hAnsi="Comic Sans MS" w:cs="Arial"/>
          <w:i/>
          <w:iCs/>
          <w:color w:val="6C6C6C"/>
          <w:sz w:val="28"/>
          <w:szCs w:val="28"/>
          <w:lang w:eastAsia="es-ES"/>
        </w:rPr>
        <w:t>.</w:t>
      </w:r>
    </w:p>
    <w:sectPr w:rsidR="005502F6" w:rsidRPr="004059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06906"/>
    <w:multiLevelType w:val="multilevel"/>
    <w:tmpl w:val="C402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694864"/>
    <w:multiLevelType w:val="multilevel"/>
    <w:tmpl w:val="B772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F6"/>
    <w:rsid w:val="004059C2"/>
    <w:rsid w:val="00550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3734"/>
  <w15:chartTrackingRefBased/>
  <w15:docId w15:val="{519C446F-57B1-4F61-A561-295A1CA5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87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513</Words>
  <Characters>2822</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2020-06-02T12:05:00Z</dcterms:created>
  <dcterms:modified xsi:type="dcterms:W3CDTF">2020-06-03T11:57:00Z</dcterms:modified>
</cp:coreProperties>
</file>