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81" w:rsidRDefault="00685181" w:rsidP="00685181">
      <w:pPr>
        <w:spacing w:line="240" w:lineRule="auto"/>
        <w:ind w:firstLine="708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Autor: Francisco Cortés Chico, Abogado y Doctorado en Sociedades Anónimas y </w:t>
      </w:r>
      <w:r>
        <w:rPr>
          <w:b/>
          <w:u w:val="single"/>
        </w:rPr>
        <w:t xml:space="preserve">Cooperativas. Fecha de publicación: </w:t>
      </w:r>
      <w:r>
        <w:rPr>
          <w:b/>
          <w:u w:val="single"/>
        </w:rPr>
        <w:t>20</w:t>
      </w:r>
      <w:r>
        <w:rPr>
          <w:b/>
          <w:u w:val="single"/>
        </w:rPr>
        <w:t>/09/2018</w:t>
      </w:r>
    </w:p>
    <w:p w:rsidR="00414605" w:rsidRPr="00685181" w:rsidRDefault="00414605" w:rsidP="006851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es-ES"/>
        </w:rPr>
      </w:pPr>
      <w:r w:rsidRPr="0068518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es-ES"/>
        </w:rPr>
        <w:t>El despido se basa en el último año si el salario es irregular</w:t>
      </w:r>
    </w:p>
    <w:p w:rsidR="00414605" w:rsidRPr="00685181" w:rsidRDefault="00414605" w:rsidP="006851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68518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El TSJ de Galicia estima que si las mensualidades cobradas son desiguales no puede calcularse sólo sobre el mes previo</w:t>
      </w:r>
      <w:r w:rsidR="00685181" w:rsidRPr="0068518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</w:t>
      </w:r>
    </w:p>
    <w:p w:rsidR="00414605" w:rsidRPr="00414605" w:rsidRDefault="00414605" w:rsidP="0068518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4605">
        <w:rPr>
          <w:rFonts w:ascii="Times New Roman" w:eastAsia="Times New Roman" w:hAnsi="Times New Roman" w:cs="Times New Roman"/>
          <w:sz w:val="24"/>
          <w:szCs w:val="24"/>
          <w:lang w:eastAsia="es-ES"/>
        </w:rPr>
        <w:t>En el caso de que las percepciones del trabajador no sean uniformes mensualmente, para evitar los beneficios o perjuicios que para él o la empresa puedan acarrear, el tomar como salario regulador sólo las retribuciones salariales del mes inmediatamente anterior a la fecha del despido, se debe tomar en consideración la media de lo percibido por tales conceptos en la anualidad anterior, o en el período de vigencia de la relación laboral, si el mismo es inferior al anual.</w:t>
      </w:r>
    </w:p>
    <w:p w:rsidR="00414605" w:rsidRPr="00414605" w:rsidRDefault="00414605" w:rsidP="0068518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46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Así se establece en una sentencia del Tribunal Superior de Justicia de Galicia, de 13 de noviembre de 2015, que considera que si a los efectos del módulo salarial computable han de incluirse todas las partidas de naturaleza salarial que lo integran, excluyendo los conceptos </w:t>
      </w:r>
      <w:r w:rsidR="00685181" w:rsidRPr="00414605">
        <w:rPr>
          <w:rFonts w:ascii="Times New Roman" w:eastAsia="Times New Roman" w:hAnsi="Times New Roman" w:cs="Times New Roman"/>
          <w:sz w:val="24"/>
          <w:szCs w:val="24"/>
          <w:lang w:eastAsia="es-ES"/>
        </w:rPr>
        <w:t>extra salariales</w:t>
      </w:r>
      <w:r w:rsidRPr="00414605">
        <w:rPr>
          <w:rFonts w:ascii="Times New Roman" w:eastAsia="Times New Roman" w:hAnsi="Times New Roman" w:cs="Times New Roman"/>
          <w:sz w:val="24"/>
          <w:szCs w:val="24"/>
          <w:lang w:eastAsia="es-ES"/>
        </w:rPr>
        <w:t>, según los criterios establecidos por el artículo 26 del Estatuto de los Trabajadores, habrán de tenerse en cuenta las cantidades devengadas por horas extraordinarias, cuando las misma</w:t>
      </w:r>
      <w:r w:rsidR="00685181">
        <w:rPr>
          <w:rFonts w:ascii="Times New Roman" w:eastAsia="Times New Roman" w:hAnsi="Times New Roman" w:cs="Times New Roman"/>
          <w:sz w:val="24"/>
          <w:szCs w:val="24"/>
          <w:lang w:eastAsia="es-ES"/>
        </w:rPr>
        <w:t>s se realicen de forma habitual, en este caso a tener muy en cuenta que no podría superarse los importes por horas, que superaran las 80 horas anuales.</w:t>
      </w:r>
    </w:p>
    <w:p w:rsidR="00414605" w:rsidRPr="00685181" w:rsidRDefault="00414605" w:rsidP="006851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s-ES"/>
        </w:rPr>
      </w:pPr>
      <w:r w:rsidRPr="0068518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s-ES"/>
        </w:rPr>
        <w:t xml:space="preserve">Percepciones </w:t>
      </w:r>
      <w:r w:rsidR="00685181" w:rsidRPr="0068518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s-ES"/>
        </w:rPr>
        <w:t>extra salariales</w:t>
      </w:r>
    </w:p>
    <w:p w:rsidR="00414605" w:rsidRDefault="00414605" w:rsidP="0068518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4605">
        <w:rPr>
          <w:rFonts w:ascii="Times New Roman" w:eastAsia="Times New Roman" w:hAnsi="Times New Roman" w:cs="Times New Roman"/>
          <w:sz w:val="24"/>
          <w:szCs w:val="24"/>
          <w:lang w:eastAsia="es-ES"/>
        </w:rPr>
        <w:t>Existen determinadas percepciones abonadas al trabajador durante su relación laboral, reflejadas en sus nóminas, y así fijadas en la propia demanda de despido, en concreto las relativas a dietas, plus de transporte,</w:t>
      </w:r>
      <w:r w:rsidR="00546F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pluses de distancia</w:t>
      </w:r>
      <w:r w:rsidRPr="004146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kilometraje, a tenor de lo dispuesto en el artículo 26 del Estatuto de los Trabajadores</w:t>
      </w:r>
      <w:r w:rsidR="00546F6E">
        <w:rPr>
          <w:rFonts w:ascii="Times New Roman" w:eastAsia="Times New Roman" w:hAnsi="Times New Roman" w:cs="Times New Roman"/>
          <w:sz w:val="24"/>
          <w:szCs w:val="24"/>
          <w:lang w:eastAsia="es-ES"/>
        </w:rPr>
        <w:t>, que literalmente dice:</w:t>
      </w:r>
    </w:p>
    <w:p w:rsidR="00685181" w:rsidRPr="00546F6E" w:rsidRDefault="00685181" w:rsidP="00685181">
      <w:pPr>
        <w:pStyle w:val="articulo"/>
        <w:spacing w:before="288" w:beforeAutospacing="0" w:after="144" w:afterAutospacing="0"/>
        <w:rPr>
          <w:b/>
          <w:bCs/>
          <w:color w:val="333333"/>
        </w:rPr>
      </w:pPr>
      <w:r w:rsidRPr="00546F6E">
        <w:rPr>
          <w:b/>
          <w:bCs/>
          <w:color w:val="333333"/>
        </w:rPr>
        <w:t>Artículo 26. Del salario.</w:t>
      </w:r>
    </w:p>
    <w:p w:rsidR="00685181" w:rsidRPr="00546F6E" w:rsidRDefault="00685181" w:rsidP="00685181">
      <w:pPr>
        <w:pStyle w:val="parrafo"/>
        <w:spacing w:before="144" w:beforeAutospacing="0" w:after="144" w:afterAutospacing="0"/>
        <w:ind w:firstLine="288"/>
        <w:jc w:val="both"/>
        <w:rPr>
          <w:color w:val="333333"/>
        </w:rPr>
      </w:pPr>
      <w:r w:rsidRPr="00546F6E">
        <w:rPr>
          <w:color w:val="333333"/>
        </w:rPr>
        <w:t>1. Se considerará salario la totalidad de las percepciones económicas de los trabajadores, en dinero o en especie, por la prestación profesional de los servicios laborales por cuenta ajena, ya retribuyan el trabajo efectivo, cualquiera que sea la forma de remuneración, o los periodos de descanso computables como de trabajo.</w:t>
      </w:r>
    </w:p>
    <w:p w:rsidR="00685181" w:rsidRPr="00546F6E" w:rsidRDefault="00685181" w:rsidP="00685181">
      <w:pPr>
        <w:pStyle w:val="parrafo"/>
        <w:spacing w:before="144" w:beforeAutospacing="0" w:after="144" w:afterAutospacing="0"/>
        <w:ind w:firstLine="288"/>
        <w:jc w:val="both"/>
        <w:rPr>
          <w:color w:val="333333"/>
        </w:rPr>
      </w:pPr>
      <w:r w:rsidRPr="00546F6E">
        <w:rPr>
          <w:color w:val="333333"/>
        </w:rPr>
        <w:t>En ningún caso, incluidas las relaciones laborales de carácter especial a que se refiere el artículo 2, el salario en especie podrá superar el treinta por ciento de las percepciones salariales del trabajador, ni dar lugar a la minoración de la cuantía íntegra en dinero del salario mínimo interprofesional.</w:t>
      </w:r>
    </w:p>
    <w:p w:rsidR="00685181" w:rsidRPr="00546F6E" w:rsidRDefault="00685181" w:rsidP="00685181">
      <w:pPr>
        <w:pStyle w:val="parrafo"/>
        <w:spacing w:before="144" w:beforeAutospacing="0" w:after="144" w:afterAutospacing="0"/>
        <w:ind w:firstLine="288"/>
        <w:jc w:val="both"/>
        <w:rPr>
          <w:color w:val="333333"/>
        </w:rPr>
      </w:pPr>
      <w:r w:rsidRPr="00546F6E">
        <w:rPr>
          <w:color w:val="333333"/>
        </w:rPr>
        <w:t>2. No tendrán la consideración de salario las cantidades percibidas por el trabajador en concepto de indemnizaciones o suplidos por los gastos realizados como consecuencia de su actividad laboral, las prestaciones e indemnizaciones de la Seguridad Social y las indemnizaciones correspondientes a traslados, suspensiones o despidos.</w:t>
      </w:r>
    </w:p>
    <w:p w:rsidR="00685181" w:rsidRPr="00546F6E" w:rsidRDefault="00685181" w:rsidP="00685181">
      <w:pPr>
        <w:pStyle w:val="parrafo"/>
        <w:spacing w:before="144" w:beforeAutospacing="0" w:after="144" w:afterAutospacing="0"/>
        <w:ind w:firstLine="288"/>
        <w:jc w:val="both"/>
        <w:rPr>
          <w:color w:val="333333"/>
        </w:rPr>
      </w:pPr>
      <w:r w:rsidRPr="00546F6E">
        <w:rPr>
          <w:color w:val="333333"/>
        </w:rPr>
        <w:t xml:space="preserve">3. Mediante la negociación colectiva o, en su defecto, el contrato individual, se determinará la estructura del salario, que deberá comprender el salario base, como </w:t>
      </w:r>
      <w:r w:rsidRPr="00546F6E">
        <w:rPr>
          <w:color w:val="333333"/>
        </w:rPr>
        <w:lastRenderedPageBreak/>
        <w:t>retribución fijada por unidad de tiempo o de obra y, en su caso, complementos salariales fijados en función de circunstancias relativas a las condiciones personales del trabajador, al trabajo realizado o a la situación y resultados de la empresa, que se calcularán conforme a los criterios que a tal efecto se pacten. Igualmente se pactará el carácter consolidable o no de dichos complementos salariales, no teniendo el carácter de consolidables, salvo acuerdo en contrario, los que estén vinculados al puesto de trabajo o a la situación y resultados de la empresa.</w:t>
      </w:r>
    </w:p>
    <w:p w:rsidR="00685181" w:rsidRPr="00546F6E" w:rsidRDefault="00685181" w:rsidP="00685181">
      <w:pPr>
        <w:pStyle w:val="parrafo"/>
        <w:spacing w:before="144" w:beforeAutospacing="0" w:after="144" w:afterAutospacing="0"/>
        <w:ind w:firstLine="288"/>
        <w:jc w:val="both"/>
        <w:rPr>
          <w:color w:val="333333"/>
        </w:rPr>
      </w:pPr>
      <w:r w:rsidRPr="00546F6E">
        <w:rPr>
          <w:color w:val="333333"/>
        </w:rPr>
        <w:t>4. Todas las cargas fiscales y de Seguridad Social a cargo del trabajador serán satisfechas por el mismo, siendo nulo todo pacto en contrario.</w:t>
      </w:r>
    </w:p>
    <w:p w:rsidR="00685181" w:rsidRPr="00546F6E" w:rsidRDefault="00685181" w:rsidP="00685181">
      <w:pPr>
        <w:pStyle w:val="parrafo"/>
        <w:spacing w:before="144" w:beforeAutospacing="0" w:after="144" w:afterAutospacing="0"/>
        <w:ind w:firstLine="288"/>
        <w:jc w:val="both"/>
        <w:rPr>
          <w:color w:val="333333"/>
        </w:rPr>
      </w:pPr>
      <w:r w:rsidRPr="00546F6E">
        <w:rPr>
          <w:color w:val="333333"/>
        </w:rPr>
        <w:t>5. Operará la compensación y absorción cuando los salarios realmente abonados, en su conjunto y cómputo anual, sean más favorables para los trabajadores que los fijados en el orden normativo o convencional de referencia.</w:t>
      </w:r>
    </w:p>
    <w:p w:rsidR="00414605" w:rsidRPr="00414605" w:rsidRDefault="00546F6E" w:rsidP="0068518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Por lo que entiende el Letrado, </w:t>
      </w:r>
      <w:r w:rsidR="00414605" w:rsidRPr="004146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 no tienen la consideración de salario, al faltarles el carácter de contraprestación por los servicios realizados, y por tanto, se trata de percepciones </w:t>
      </w:r>
      <w:r w:rsidR="00685181" w:rsidRPr="00414605">
        <w:rPr>
          <w:rFonts w:ascii="Times New Roman" w:eastAsia="Times New Roman" w:hAnsi="Times New Roman" w:cs="Times New Roman"/>
          <w:sz w:val="24"/>
          <w:szCs w:val="24"/>
          <w:lang w:eastAsia="es-ES"/>
        </w:rPr>
        <w:t>extra salariales</w:t>
      </w:r>
      <w:r w:rsidR="00414605" w:rsidRPr="00414605">
        <w:rPr>
          <w:rFonts w:ascii="Times New Roman" w:eastAsia="Times New Roman" w:hAnsi="Times New Roman" w:cs="Times New Roman"/>
          <w:sz w:val="24"/>
          <w:szCs w:val="24"/>
          <w:lang w:eastAsia="es-ES"/>
        </w:rPr>
        <w:t>, cuya finalidad no es remuneratoria sino asistencial, indemnizatoria o compensatoria, entre otros el plus de transporte, que resarce por el uso necesario debido a la distancia entre su domicilio y el trabajo, así como las dietas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pluses de distancia</w:t>
      </w:r>
      <w:r w:rsidR="00414605" w:rsidRPr="004146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kilometraje.</w:t>
      </w:r>
    </w:p>
    <w:p w:rsidR="00414605" w:rsidRPr="00414605" w:rsidRDefault="00414605" w:rsidP="0068518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46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parámetros utilizados para calcular la base reguladora de la prestación de desempleo son diferentes a los usados para fijar la indemnización por extinción del contrato. </w:t>
      </w:r>
    </w:p>
    <w:p w:rsidR="00546F6E" w:rsidRDefault="00414605" w:rsidP="00546F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4605">
        <w:rPr>
          <w:rFonts w:ascii="Times New Roman" w:eastAsia="Times New Roman" w:hAnsi="Times New Roman" w:cs="Times New Roman"/>
          <w:sz w:val="24"/>
          <w:szCs w:val="24"/>
          <w:lang w:eastAsia="es-ES"/>
        </w:rPr>
        <w:t>En estos casos, se excluye la retribución por horas extraordinarias, con independencia de su inclusión en la base de cotización por contingencia</w:t>
      </w:r>
      <w:r w:rsidR="00546F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profesional,</w:t>
      </w:r>
      <w:r w:rsidRPr="004146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fijada en el artículo 224 del Texto Refundido de la Ley General de la Seguridad Social. </w:t>
      </w:r>
    </w:p>
    <w:p w:rsidR="00414605" w:rsidRPr="00414605" w:rsidRDefault="00414605" w:rsidP="00546F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4605">
        <w:rPr>
          <w:rFonts w:ascii="Times New Roman" w:eastAsia="Times New Roman" w:hAnsi="Times New Roman" w:cs="Times New Roman"/>
          <w:sz w:val="24"/>
          <w:szCs w:val="24"/>
          <w:lang w:eastAsia="es-ES"/>
        </w:rPr>
        <w:t>Estas retribuciones no se incluyen en el certificado de empresa.</w:t>
      </w:r>
    </w:p>
    <w:p w:rsidR="00414605" w:rsidRPr="00546F6E" w:rsidRDefault="00414605" w:rsidP="00546F6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s-ES"/>
        </w:rPr>
      </w:pPr>
      <w:r w:rsidRPr="00546F6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s-ES"/>
        </w:rPr>
        <w:t>Doctrina del Supremo</w:t>
      </w:r>
    </w:p>
    <w:p w:rsidR="00414605" w:rsidRPr="00414605" w:rsidRDefault="00414605" w:rsidP="00546F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46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 respecto al cálculo de la compensación por despido improcedente, el Tribunal Supremo ha establecido la obligación de discriminar en los cálculos entre el tiempo trabajado antes y después de la reforma laboral, algo que estaban olvidando algunos juzgados de lo Social, a pesar de la claridad meridiana con que está regulado en la Disposición transitoria quinta. 2 del Real Decreto-Ley 3/2012. </w:t>
      </w:r>
    </w:p>
    <w:p w:rsidR="00414605" w:rsidRPr="00414605" w:rsidRDefault="00414605" w:rsidP="00546F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4605">
        <w:rPr>
          <w:rFonts w:ascii="Times New Roman" w:eastAsia="Times New Roman" w:hAnsi="Times New Roman" w:cs="Times New Roman"/>
          <w:sz w:val="24"/>
          <w:szCs w:val="24"/>
          <w:lang w:eastAsia="es-ES"/>
        </w:rPr>
        <w:t>En su sentencia de 29 de septiembre de 2014, recuerda esta regulación, que exige que la indemnización por despido improcedente de los contratos formalizados con anterioridad a la entrada en vigor del citado Real Decreto-Ley se calculará en 45 días de salario por año de servicio por el tiempo de prestación de servicios previo a la fecha de entrada en vigor</w:t>
      </w:r>
      <w:r w:rsidR="00546F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o sea hasta el 11 de febrero de 2012, que establece la Reforma Laboral, </w:t>
      </w:r>
      <w:r w:rsidRPr="004146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 razón de 33 días de salario por año de servicio por el tiempo de prestació</w:t>
      </w:r>
      <w:r w:rsidR="00546F6E">
        <w:rPr>
          <w:rFonts w:ascii="Times New Roman" w:eastAsia="Times New Roman" w:hAnsi="Times New Roman" w:cs="Times New Roman"/>
          <w:sz w:val="24"/>
          <w:szCs w:val="24"/>
          <w:lang w:eastAsia="es-ES"/>
        </w:rPr>
        <w:t>n posterior, o sea a partir de 12 de febrero de 2012, que establece la Reforma Laboral.</w:t>
      </w:r>
      <w:r w:rsidRPr="004146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414605" w:rsidRDefault="00414605" w:rsidP="00546F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46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importe indemnizatorio no podrá ser superior a 720 días de salario, salvo que del cálculo de la indemnización por el periodo anterior a la entrada en vigor de este Real Decreto-Ley resultase un número de días superior, en cuyo caso se aplicará éste como </w:t>
      </w:r>
      <w:r w:rsidRPr="00414605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importe indemnizatorio máximo, sin que dicho importe pueda ser superior a 42 mensualidades, en ningún caso.</w:t>
      </w:r>
    </w:p>
    <w:p w:rsidR="00546F6E" w:rsidRDefault="00546F6E" w:rsidP="00546F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aclarar el tema, cito los </w:t>
      </w:r>
      <w:r w:rsidR="0023377D">
        <w:rPr>
          <w:rFonts w:ascii="Times New Roman" w:eastAsia="Times New Roman" w:hAnsi="Times New Roman" w:cs="Times New Roman"/>
          <w:sz w:val="24"/>
          <w:szCs w:val="24"/>
          <w:lang w:eastAsia="es-ES"/>
        </w:rPr>
        <w:t>límites a tener en cuenta para determinar el importe de la indemnización máxima a abonar:</w:t>
      </w:r>
    </w:p>
    <w:p w:rsidR="0023377D" w:rsidRDefault="0023377D" w:rsidP="002337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377D">
        <w:rPr>
          <w:rFonts w:ascii="Times New Roman" w:eastAsia="Times New Roman" w:hAnsi="Times New Roman" w:cs="Times New Roman"/>
          <w:sz w:val="24"/>
          <w:szCs w:val="24"/>
          <w:lang w:eastAsia="es-ES"/>
        </w:rPr>
        <w:t>Si la indemnización resultante de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 tramo 1º supera los 1260 días, e</w:t>
      </w:r>
      <w:r w:rsidRPr="002337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 importe total de la indemnización a abonar será el correspondiente a 1260 días de salario (42 mensualidades), y a dicho importe no se acumularán los días de indemnización calculados conforme al tramo 2º. </w:t>
      </w:r>
    </w:p>
    <w:p w:rsidR="0023377D" w:rsidRDefault="0023377D" w:rsidP="00233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C47FB6">
        <w:rPr>
          <w:rFonts w:ascii="Times New Roman" w:eastAsia="Times New Roman" w:hAnsi="Times New Roman" w:cs="Times New Roman"/>
          <w:sz w:val="24"/>
          <w:szCs w:val="24"/>
          <w:lang w:eastAsia="es-ES"/>
        </w:rPr>
        <w:t>Si la indemnización resultante del tramo 1º supera los 720 días y es inferior a los 1260 días, ese número de días será el que se utilice para calcular el importe total de indemnización a abonar, es decir, que tampoco en este caso se acumulan los días calculados conforme al tramo 2º.</w:t>
      </w:r>
    </w:p>
    <w:p w:rsidR="00C47FB6" w:rsidRDefault="00C47FB6" w:rsidP="00233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En consecuencia, en el caso de contratos con antigüedad anterior a febrero de 1996 la indemnización ha quedado ya topada o “congelada en su cómputo”, sin que los años futuros de antigüedad que transcurran vayan a incrementarla en modo alguno.</w:t>
      </w:r>
    </w:p>
    <w:p w:rsidR="00C47FB6" w:rsidRPr="0023377D" w:rsidRDefault="00C47FB6" w:rsidP="00233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Si la indemnización resultante del tramo 1º no supera los 720 días, se respetará dicho importe y el mismo se sigue incrementando a razón de 33 días por año, (conforme a los importes calculados en el tramo 2º). La indemnización será la resultante de agregar la calculada por ambos tramos pero con el límite conjunto de 720 días, (24 mensualidades).</w:t>
      </w:r>
    </w:p>
    <w:p w:rsidR="00414605" w:rsidRPr="00414605" w:rsidRDefault="00414605" w:rsidP="00546F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4605">
        <w:rPr>
          <w:rFonts w:ascii="Times New Roman" w:eastAsia="Times New Roman" w:hAnsi="Times New Roman" w:cs="Times New Roman"/>
          <w:sz w:val="24"/>
          <w:szCs w:val="24"/>
          <w:lang w:eastAsia="es-ES"/>
        </w:rPr>
        <w:t>Cuando el despido sea declarado improcedente, el empresario, en el plazo de cinco días desde la notificación de la sentencia, podrá optar entre la readmisión del trabajador o el abono de una indemnización. Si se opta por la readmisión, el trabajador tendrá derecho a los salarios de tramitación. En el supuesto de no optar el empresario por la readmisión o la indemnización, se entiende que procederá esta última.</w:t>
      </w:r>
    </w:p>
    <w:p w:rsidR="00917943" w:rsidRDefault="00917943" w:rsidP="00685181">
      <w:pPr>
        <w:jc w:val="both"/>
      </w:pPr>
    </w:p>
    <w:sectPr w:rsidR="009179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057"/>
    <w:multiLevelType w:val="multilevel"/>
    <w:tmpl w:val="C724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E691B"/>
    <w:multiLevelType w:val="multilevel"/>
    <w:tmpl w:val="E4F8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FE4629"/>
    <w:multiLevelType w:val="hybridMultilevel"/>
    <w:tmpl w:val="5B5AFA08"/>
    <w:lvl w:ilvl="0" w:tplc="463A8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1A762A"/>
    <w:multiLevelType w:val="multilevel"/>
    <w:tmpl w:val="F73C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05"/>
    <w:rsid w:val="0023377D"/>
    <w:rsid w:val="00414605"/>
    <w:rsid w:val="00546F6E"/>
    <w:rsid w:val="00685181"/>
    <w:rsid w:val="00917943"/>
    <w:rsid w:val="00C4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605"/>
    <w:rPr>
      <w:rFonts w:ascii="Tahoma" w:hAnsi="Tahoma" w:cs="Tahoma"/>
      <w:sz w:val="16"/>
      <w:szCs w:val="16"/>
    </w:rPr>
  </w:style>
  <w:style w:type="paragraph" w:customStyle="1" w:styleId="articulo">
    <w:name w:val="articulo"/>
    <w:basedOn w:val="Normal"/>
    <w:rsid w:val="0068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68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3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605"/>
    <w:rPr>
      <w:rFonts w:ascii="Tahoma" w:hAnsi="Tahoma" w:cs="Tahoma"/>
      <w:sz w:val="16"/>
      <w:szCs w:val="16"/>
    </w:rPr>
  </w:style>
  <w:style w:type="paragraph" w:customStyle="1" w:styleId="articulo">
    <w:name w:val="articulo"/>
    <w:basedOn w:val="Normal"/>
    <w:rsid w:val="0068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68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3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8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7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0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29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6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9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193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8850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0C0C0"/>
                                                <w:left w:val="single" w:sz="6" w:space="4" w:color="C0C0C0"/>
                                                <w:bottom w:val="single" w:sz="6" w:space="2" w:color="C0C0C0"/>
                                                <w:right w:val="single" w:sz="6" w:space="4" w:color="C0C0C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07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3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2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55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65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1215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</dc:creator>
  <cp:lastModifiedBy>FRANCESC</cp:lastModifiedBy>
  <cp:revision>4</cp:revision>
  <dcterms:created xsi:type="dcterms:W3CDTF">2017-06-08T12:05:00Z</dcterms:created>
  <dcterms:modified xsi:type="dcterms:W3CDTF">2018-09-18T10:27:00Z</dcterms:modified>
</cp:coreProperties>
</file>