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0E" w:rsidRDefault="00C3030E" w:rsidP="00C3030E">
      <w:pPr>
        <w:spacing w:after="100" w:line="240" w:lineRule="auto"/>
        <w:jc w:val="center"/>
        <w:rPr>
          <w:rFonts w:ascii="Arial" w:eastAsia="Times New Roman" w:hAnsi="Arial" w:cs="Arial"/>
          <w:b/>
          <w:bCs/>
          <w:color w:val="FF0000"/>
          <w:sz w:val="28"/>
          <w:szCs w:val="28"/>
          <w:lang w:eastAsia="es-ES"/>
        </w:rPr>
      </w:pPr>
      <w:r w:rsidRPr="00E27B95">
        <w:rPr>
          <w:rFonts w:ascii="Arial" w:eastAsia="Times New Roman" w:hAnsi="Arial" w:cs="Arial"/>
          <w:b/>
          <w:bCs/>
          <w:color w:val="FF0000"/>
          <w:sz w:val="28"/>
          <w:szCs w:val="28"/>
          <w:lang w:eastAsia="es-ES"/>
        </w:rPr>
        <w:t>ESTADÍSTICA DE CONVENIOS COLECTIVOS DE TRABAJO (ENERO 2020)</w:t>
      </w:r>
    </w:p>
    <w:p w:rsidR="00E27B95" w:rsidRPr="00E27B95" w:rsidRDefault="00E27B95" w:rsidP="00C3030E">
      <w:pPr>
        <w:spacing w:after="100" w:line="240" w:lineRule="auto"/>
        <w:jc w:val="center"/>
        <w:rPr>
          <w:rFonts w:ascii="Arial" w:eastAsia="Times New Roman" w:hAnsi="Arial" w:cs="Arial"/>
          <w:color w:val="000000"/>
          <w:sz w:val="28"/>
          <w:szCs w:val="28"/>
          <w:lang w:eastAsia="es-ES"/>
        </w:rPr>
      </w:pPr>
    </w:p>
    <w:p w:rsidR="00C3030E" w:rsidRPr="00C3030E" w:rsidRDefault="00C3030E" w:rsidP="00C3030E">
      <w:pPr>
        <w:spacing w:after="100" w:line="240" w:lineRule="auto"/>
        <w:jc w:val="both"/>
        <w:textAlignment w:val="baseline"/>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Subdirección General de Estadística y Análisis Sociolaboral del Ministerio de Trabajo, Migraciones y Seguridad Social</w:t>
      </w:r>
    </w:p>
    <w:p w:rsidR="00C3030E" w:rsidRPr="00C3030E" w:rsidRDefault="00C3030E" w:rsidP="00C3030E">
      <w:pPr>
        <w:spacing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La Estadística de Convenios Colectivos de Trabajo tiene por objeto proporcionar información estadística sobre los aspectos más relevantes de los convenios colectivos de trabajo, así como del resultado de los procesos de Negociación Colectiva realizada en el año en curso y anteriores.</w:t>
      </w:r>
    </w:p>
    <w:p w:rsidR="00C3030E" w:rsidRPr="00C3030E" w:rsidRDefault="00C3030E" w:rsidP="00C3030E">
      <w:pPr>
        <w:spacing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La fuente de información fundamental para su elaboración es la Hoja Estadística que debe ser cumplimentada por las comisiones negociadoras una vez firmados los convenios y que se adjunta como parte de la documentación al inscribirlos en el Registro de Convenios Colectivos de la Autoridad Laboral competente.</w:t>
      </w:r>
    </w:p>
    <w:p w:rsidR="00C3030E" w:rsidRPr="00C3030E" w:rsidRDefault="00C3030E" w:rsidP="00C3030E">
      <w:pPr>
        <w:spacing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En esta publicación se presenta la información actualizada a diciembre de 2019, considerando como Provisionales los datos relativos a los años 2018 y 2019.</w:t>
      </w:r>
    </w:p>
    <w:p w:rsidR="00C3030E" w:rsidRPr="00C3030E" w:rsidRDefault="00C3030E" w:rsidP="00C3030E">
      <w:pPr>
        <w:spacing w:after="120" w:line="240" w:lineRule="auto"/>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CONVENIOS FIRMADOS Y REGISTRADOS Y TRABAJADORES AFECTADOS</w:t>
      </w:r>
    </w:p>
    <w:p w:rsidR="00C3030E" w:rsidRPr="00C3030E" w:rsidRDefault="00C3030E" w:rsidP="00C3030E">
      <w:pPr>
        <w:spacing w:after="12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Según el ámbito funcional</w:t>
      </w:r>
    </w:p>
    <w:tbl>
      <w:tblPr>
        <w:tblW w:w="0" w:type="auto"/>
        <w:tblInd w:w="-5" w:type="dxa"/>
        <w:tblCellMar>
          <w:left w:w="0" w:type="dxa"/>
          <w:right w:w="0" w:type="dxa"/>
        </w:tblCellMar>
        <w:tblLook w:val="04A0" w:firstRow="1" w:lastRow="0" w:firstColumn="1" w:lastColumn="0" w:noHBand="0" w:noVBand="1"/>
      </w:tblPr>
      <w:tblGrid>
        <w:gridCol w:w="1430"/>
        <w:gridCol w:w="985"/>
        <w:gridCol w:w="1129"/>
        <w:gridCol w:w="851"/>
        <w:gridCol w:w="992"/>
        <w:gridCol w:w="1134"/>
        <w:gridCol w:w="1030"/>
      </w:tblGrid>
      <w:tr w:rsidR="00C3030E" w:rsidRPr="00C3030E" w:rsidTr="00C3030E">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AÑO</w:t>
            </w:r>
          </w:p>
        </w:tc>
        <w:tc>
          <w:tcPr>
            <w:tcW w:w="2965" w:type="dxa"/>
            <w:gridSpan w:val="3"/>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Convenios firmados</w:t>
            </w:r>
          </w:p>
        </w:tc>
        <w:tc>
          <w:tcPr>
            <w:tcW w:w="2409" w:type="dxa"/>
            <w:gridSpan w:val="3"/>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Trabajadores afectados</w:t>
            </w:r>
          </w:p>
        </w:tc>
      </w:tr>
      <w:tr w:rsidR="00C3030E" w:rsidRPr="00C3030E" w:rsidTr="00C3030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p>
        </w:tc>
        <w:tc>
          <w:tcPr>
            <w:tcW w:w="985"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Empresa</w:t>
            </w:r>
          </w:p>
        </w:tc>
        <w:tc>
          <w:tcPr>
            <w:tcW w:w="1129"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ámbito superior</w:t>
            </w:r>
          </w:p>
        </w:tc>
        <w:tc>
          <w:tcPr>
            <w:tcW w:w="851"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c>
          <w:tcPr>
            <w:tcW w:w="992"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Empresa</w:t>
            </w:r>
          </w:p>
        </w:tc>
        <w:tc>
          <w:tcPr>
            <w:tcW w:w="1134"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ámbito superior</w:t>
            </w:r>
          </w:p>
        </w:tc>
        <w:tc>
          <w:tcPr>
            <w:tcW w:w="283"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2013</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1.897</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605</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2.502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376.470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4.871.105</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5.247.575</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2014</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1.522</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337</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1.859</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249.303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1.919.943</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2.169.246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2015</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1.277</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329</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1.606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172.852</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3.376.123</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3.548.975</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2016</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1.488</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378</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1.866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290.427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2.541.916</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2.832.343</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2017</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1.465</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427</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1.892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277.327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3.643.623</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3.920.950</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2018 (P)</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1.461</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425</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1.886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266.671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4.364.220</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4.630.891</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2019 (P)</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987</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284</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1.271</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204.192</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2.254.354</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2.458.546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2020 (P) (ene)</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w:t>
            </w:r>
          </w:p>
        </w:tc>
        <w:tc>
          <w:tcPr>
            <w:tcW w:w="11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w:t>
            </w:r>
          </w:p>
        </w:tc>
        <w:tc>
          <w:tcPr>
            <w:tcW w:w="85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803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1.978</w:t>
            </w:r>
          </w:p>
        </w:tc>
        <w:tc>
          <w:tcPr>
            <w:tcW w:w="28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2.781</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En el primer mes de 2020 se han firmado y registrado </w:t>
      </w:r>
      <w:r w:rsidRPr="00C3030E">
        <w:rPr>
          <w:rFonts w:ascii="Arial" w:eastAsia="Times New Roman" w:hAnsi="Arial" w:cs="Arial"/>
          <w:b/>
          <w:bCs/>
          <w:color w:val="000000"/>
          <w:sz w:val="20"/>
          <w:szCs w:val="20"/>
          <w:lang w:eastAsia="es-ES"/>
        </w:rPr>
        <w:t>8</w:t>
      </w:r>
      <w:r w:rsidRPr="00C3030E">
        <w:rPr>
          <w:rFonts w:ascii="Arial" w:eastAsia="Times New Roman" w:hAnsi="Arial" w:cs="Arial"/>
          <w:color w:val="000000"/>
          <w:sz w:val="20"/>
          <w:szCs w:val="20"/>
          <w:lang w:eastAsia="es-ES"/>
        </w:rPr>
        <w:t> convenios colectivos, </w:t>
      </w:r>
      <w:r w:rsidRPr="00C3030E">
        <w:rPr>
          <w:rFonts w:ascii="Arial" w:eastAsia="Times New Roman" w:hAnsi="Arial" w:cs="Arial"/>
          <w:b/>
          <w:bCs/>
          <w:color w:val="000000"/>
          <w:sz w:val="20"/>
          <w:szCs w:val="20"/>
          <w:lang w:eastAsia="es-ES"/>
        </w:rPr>
        <w:t>6</w:t>
      </w:r>
      <w:r w:rsidRPr="00C3030E">
        <w:rPr>
          <w:rFonts w:ascii="Arial" w:eastAsia="Times New Roman" w:hAnsi="Arial" w:cs="Arial"/>
          <w:color w:val="000000"/>
          <w:sz w:val="20"/>
          <w:szCs w:val="20"/>
          <w:lang w:eastAsia="es-ES"/>
        </w:rPr>
        <w:t> de empresa y </w:t>
      </w:r>
      <w:r w:rsidRPr="00C3030E">
        <w:rPr>
          <w:rFonts w:ascii="Arial" w:eastAsia="Times New Roman" w:hAnsi="Arial" w:cs="Arial"/>
          <w:b/>
          <w:bCs/>
          <w:color w:val="000000"/>
          <w:sz w:val="20"/>
          <w:szCs w:val="20"/>
          <w:lang w:eastAsia="es-ES"/>
        </w:rPr>
        <w:t>2</w:t>
      </w:r>
      <w:r w:rsidRPr="00C3030E">
        <w:rPr>
          <w:rFonts w:ascii="Arial" w:eastAsia="Times New Roman" w:hAnsi="Arial" w:cs="Arial"/>
          <w:color w:val="000000"/>
          <w:sz w:val="20"/>
          <w:szCs w:val="20"/>
          <w:lang w:eastAsia="es-ES"/>
        </w:rPr>
        <w:t> de ámbito superior a la empresa. En cuanto a las nuevas unidades de negociación, se han firmado y registrado </w:t>
      </w:r>
      <w:r w:rsidRPr="00C3030E">
        <w:rPr>
          <w:rFonts w:ascii="Arial" w:eastAsia="Times New Roman" w:hAnsi="Arial" w:cs="Arial"/>
          <w:b/>
          <w:bCs/>
          <w:color w:val="000000"/>
          <w:sz w:val="20"/>
          <w:szCs w:val="20"/>
          <w:lang w:eastAsia="es-ES"/>
        </w:rPr>
        <w:t>2</w:t>
      </w:r>
      <w:r w:rsidRPr="00C3030E">
        <w:rPr>
          <w:rFonts w:ascii="Arial" w:eastAsia="Times New Roman" w:hAnsi="Arial" w:cs="Arial"/>
          <w:color w:val="000000"/>
          <w:sz w:val="20"/>
          <w:szCs w:val="20"/>
          <w:lang w:eastAsia="es-ES"/>
        </w:rPr>
        <w:t> convenios, siendo </w:t>
      </w:r>
      <w:r w:rsidRPr="00C3030E">
        <w:rPr>
          <w:rFonts w:ascii="Arial" w:eastAsia="Times New Roman" w:hAnsi="Arial" w:cs="Arial"/>
          <w:b/>
          <w:bCs/>
          <w:color w:val="000000"/>
          <w:sz w:val="20"/>
          <w:szCs w:val="20"/>
          <w:lang w:eastAsia="es-ES"/>
        </w:rPr>
        <w:t>2</w:t>
      </w:r>
      <w:r w:rsidRPr="00C3030E">
        <w:rPr>
          <w:rFonts w:ascii="Arial" w:eastAsia="Times New Roman" w:hAnsi="Arial" w:cs="Arial"/>
          <w:color w:val="000000"/>
          <w:sz w:val="20"/>
          <w:szCs w:val="20"/>
          <w:lang w:eastAsia="es-ES"/>
        </w:rPr>
        <w:t> los dos convenios de empresa. Asimismo, se han registrado en este mes </w:t>
      </w:r>
      <w:r w:rsidRPr="00C3030E">
        <w:rPr>
          <w:rFonts w:ascii="Arial" w:eastAsia="Times New Roman" w:hAnsi="Arial" w:cs="Arial"/>
          <w:b/>
          <w:bCs/>
          <w:color w:val="000000"/>
          <w:sz w:val="20"/>
          <w:szCs w:val="20"/>
          <w:lang w:eastAsia="es-ES"/>
        </w:rPr>
        <w:t>12</w:t>
      </w:r>
      <w:r w:rsidRPr="00C3030E">
        <w:rPr>
          <w:rFonts w:ascii="Arial" w:eastAsia="Times New Roman" w:hAnsi="Arial" w:cs="Arial"/>
          <w:color w:val="000000"/>
          <w:sz w:val="20"/>
          <w:szCs w:val="20"/>
          <w:lang w:eastAsia="es-ES"/>
        </w:rPr>
        <w:t> convenios firmados en 2018 y </w:t>
      </w:r>
      <w:r w:rsidRPr="00C3030E">
        <w:rPr>
          <w:rFonts w:ascii="Arial" w:eastAsia="Times New Roman" w:hAnsi="Arial" w:cs="Arial"/>
          <w:b/>
          <w:bCs/>
          <w:color w:val="000000"/>
          <w:sz w:val="20"/>
          <w:szCs w:val="20"/>
          <w:lang w:eastAsia="es-ES"/>
        </w:rPr>
        <w:t>141</w:t>
      </w:r>
      <w:r w:rsidRPr="00C3030E">
        <w:rPr>
          <w:rFonts w:ascii="Arial" w:eastAsia="Times New Roman" w:hAnsi="Arial" w:cs="Arial"/>
          <w:color w:val="000000"/>
          <w:sz w:val="20"/>
          <w:szCs w:val="20"/>
          <w:lang w:eastAsia="es-ES"/>
        </w:rPr>
        <w:t> convenios firmados en 2019.</w:t>
      </w:r>
    </w:p>
    <w:p w:rsidR="00C3030E" w:rsidRPr="00C3030E" w:rsidRDefault="00C3030E" w:rsidP="00C3030E">
      <w:pPr>
        <w:spacing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Al disponer únicamente de información relativa al primer mes del año, el número de convenios firmados no proporciona todavía información relevante acerca del ritmo de la negociación colectiva, por lo que habrá que esperar a su evolución durante los próximos meses para valorar el comportamiento de este indicador.</w:t>
      </w:r>
    </w:p>
    <w:p w:rsidR="00C3030E" w:rsidRPr="00C3030E" w:rsidRDefault="00C3030E" w:rsidP="00C3030E">
      <w:pPr>
        <w:spacing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En las tablas siguientes se presenta la información de los convenios firmados y registrados hasta enero de 2020. Para su interpretación hay que tener en cuenta que los datos son provisionales para los años 2018, 2019 y 2020. Los dos primeros años, 2018 y 2019, aunque no están cerrados contienen información relativa al año completo, de enero a diciembre. Para el año 2020, sin embargo, sólo se cuenta con la información disponible, es decir, la correspondiente al mes de enero.</w:t>
      </w:r>
    </w:p>
    <w:p w:rsidR="00C3030E" w:rsidRPr="00C3030E" w:rsidRDefault="00C3030E" w:rsidP="00C3030E">
      <w:pPr>
        <w:spacing w:before="100" w:after="100" w:line="240" w:lineRule="auto"/>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EFECTOS ECONÓMICOS</w:t>
      </w:r>
    </w:p>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 xml:space="preserve">La variación salarial media pactada está calculada con la información de aquellos convenios cuyos efectos económicos son conocidos y cuantificables y que han sido registrados en </w:t>
      </w:r>
      <w:proofErr w:type="spellStart"/>
      <w:r w:rsidRPr="00C3030E">
        <w:rPr>
          <w:rFonts w:ascii="Arial" w:eastAsia="Times New Roman" w:hAnsi="Arial" w:cs="Arial"/>
          <w:color w:val="000000"/>
          <w:sz w:val="20"/>
          <w:szCs w:val="20"/>
          <w:lang w:eastAsia="es-ES"/>
        </w:rPr>
        <w:t>REGCON</w:t>
      </w:r>
      <w:proofErr w:type="spellEnd"/>
      <w:r w:rsidRPr="00C3030E">
        <w:rPr>
          <w:rFonts w:ascii="Arial" w:eastAsia="Times New Roman" w:hAnsi="Arial" w:cs="Arial"/>
          <w:color w:val="000000"/>
          <w:sz w:val="20"/>
          <w:szCs w:val="20"/>
          <w:lang w:eastAsia="es-ES"/>
        </w:rPr>
        <w:t xml:space="preserve"> hasta enero de 2020.</w:t>
      </w:r>
    </w:p>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Para dicho cálculo, se han tenido en cuenta </w:t>
      </w:r>
      <w:r w:rsidRPr="00C3030E">
        <w:rPr>
          <w:rFonts w:ascii="Arial" w:eastAsia="Times New Roman" w:hAnsi="Arial" w:cs="Arial"/>
          <w:b/>
          <w:bCs/>
          <w:color w:val="000000"/>
          <w:sz w:val="20"/>
          <w:szCs w:val="20"/>
          <w:lang w:eastAsia="es-ES"/>
        </w:rPr>
        <w:t>2.085</w:t>
      </w:r>
      <w:r w:rsidRPr="00C3030E">
        <w:rPr>
          <w:rFonts w:ascii="Arial" w:eastAsia="Times New Roman" w:hAnsi="Arial" w:cs="Arial"/>
          <w:color w:val="000000"/>
          <w:sz w:val="20"/>
          <w:szCs w:val="20"/>
          <w:lang w:eastAsia="es-ES"/>
        </w:rPr>
        <w:t> convenios con efectos económicos conocidos y registrados hasta enero de 2020, que afectan a </w:t>
      </w:r>
      <w:r w:rsidRPr="00C3030E">
        <w:rPr>
          <w:rFonts w:ascii="Arial" w:eastAsia="Times New Roman" w:hAnsi="Arial" w:cs="Arial"/>
          <w:b/>
          <w:bCs/>
          <w:color w:val="000000"/>
          <w:sz w:val="20"/>
          <w:szCs w:val="20"/>
          <w:lang w:eastAsia="es-ES"/>
        </w:rPr>
        <w:t>741.863</w:t>
      </w:r>
      <w:r w:rsidRPr="00C3030E">
        <w:rPr>
          <w:rFonts w:ascii="Arial" w:eastAsia="Times New Roman" w:hAnsi="Arial" w:cs="Arial"/>
          <w:color w:val="000000"/>
          <w:sz w:val="20"/>
          <w:szCs w:val="20"/>
          <w:lang w:eastAsia="es-ES"/>
        </w:rPr>
        <w:t> empresas y </w:t>
      </w:r>
      <w:r w:rsidRPr="00C3030E">
        <w:rPr>
          <w:rFonts w:ascii="Arial" w:eastAsia="Times New Roman" w:hAnsi="Arial" w:cs="Arial"/>
          <w:b/>
          <w:bCs/>
          <w:color w:val="000000"/>
          <w:sz w:val="20"/>
          <w:szCs w:val="20"/>
          <w:lang w:eastAsia="es-ES"/>
        </w:rPr>
        <w:t>5.904.928</w:t>
      </w:r>
      <w:r w:rsidRPr="00C3030E">
        <w:rPr>
          <w:rFonts w:ascii="Arial" w:eastAsia="Times New Roman" w:hAnsi="Arial" w:cs="Arial"/>
          <w:color w:val="000000"/>
          <w:sz w:val="20"/>
          <w:szCs w:val="20"/>
          <w:lang w:eastAsia="es-ES"/>
        </w:rPr>
        <w:t> trabajadores. De ellos, </w:t>
      </w:r>
      <w:r w:rsidRPr="00C3030E">
        <w:rPr>
          <w:rFonts w:ascii="Arial" w:eastAsia="Times New Roman" w:hAnsi="Arial" w:cs="Arial"/>
          <w:b/>
          <w:bCs/>
          <w:color w:val="000000"/>
          <w:sz w:val="20"/>
          <w:szCs w:val="20"/>
          <w:lang w:eastAsia="es-ES"/>
        </w:rPr>
        <w:t>7</w:t>
      </w:r>
      <w:r w:rsidRPr="00C3030E">
        <w:rPr>
          <w:rFonts w:ascii="Arial" w:eastAsia="Times New Roman" w:hAnsi="Arial" w:cs="Arial"/>
          <w:color w:val="000000"/>
          <w:sz w:val="20"/>
          <w:szCs w:val="20"/>
          <w:lang w:eastAsia="es-ES"/>
        </w:rPr>
        <w:t> han sido firmados y registrados entre los meses de enero a enero de 2020, afectando a </w:t>
      </w:r>
      <w:r w:rsidRPr="00C3030E">
        <w:rPr>
          <w:rFonts w:ascii="Arial" w:eastAsia="Times New Roman" w:hAnsi="Arial" w:cs="Arial"/>
          <w:b/>
          <w:bCs/>
          <w:color w:val="000000"/>
          <w:sz w:val="20"/>
          <w:szCs w:val="20"/>
          <w:lang w:eastAsia="es-ES"/>
        </w:rPr>
        <w:t>282</w:t>
      </w:r>
      <w:r w:rsidRPr="00C3030E">
        <w:rPr>
          <w:rFonts w:ascii="Arial" w:eastAsia="Times New Roman" w:hAnsi="Arial" w:cs="Arial"/>
          <w:color w:val="000000"/>
          <w:sz w:val="20"/>
          <w:szCs w:val="20"/>
          <w:lang w:eastAsia="es-ES"/>
        </w:rPr>
        <w:t> empresas y </w:t>
      </w:r>
      <w:r w:rsidRPr="00C3030E">
        <w:rPr>
          <w:rFonts w:ascii="Arial" w:eastAsia="Times New Roman" w:hAnsi="Arial" w:cs="Arial"/>
          <w:b/>
          <w:bCs/>
          <w:color w:val="000000"/>
          <w:sz w:val="20"/>
          <w:szCs w:val="20"/>
          <w:lang w:eastAsia="es-ES"/>
        </w:rPr>
        <w:t>2.323</w:t>
      </w:r>
      <w:r w:rsidRPr="00C3030E">
        <w:rPr>
          <w:rFonts w:ascii="Arial" w:eastAsia="Times New Roman" w:hAnsi="Arial" w:cs="Arial"/>
          <w:color w:val="000000"/>
          <w:sz w:val="20"/>
          <w:szCs w:val="20"/>
          <w:lang w:eastAsia="es-ES"/>
        </w:rPr>
        <w:t> trabajadores.</w:t>
      </w:r>
    </w:p>
    <w:p w:rsidR="00E27B95" w:rsidRDefault="00E27B95" w:rsidP="00C3030E">
      <w:pPr>
        <w:spacing w:before="100" w:after="100" w:line="240" w:lineRule="auto"/>
        <w:rPr>
          <w:rFonts w:ascii="Arial" w:eastAsia="Times New Roman" w:hAnsi="Arial" w:cs="Arial"/>
          <w:b/>
          <w:bCs/>
          <w:color w:val="000000"/>
          <w:sz w:val="20"/>
          <w:szCs w:val="20"/>
          <w:u w:val="single"/>
          <w:lang w:eastAsia="es-ES"/>
        </w:rPr>
      </w:pPr>
    </w:p>
    <w:p w:rsidR="00E27B95" w:rsidRDefault="00E27B95" w:rsidP="00C3030E">
      <w:pPr>
        <w:spacing w:before="100" w:after="100" w:line="240" w:lineRule="auto"/>
        <w:rPr>
          <w:rFonts w:ascii="Arial" w:eastAsia="Times New Roman" w:hAnsi="Arial" w:cs="Arial"/>
          <w:b/>
          <w:bCs/>
          <w:color w:val="000000"/>
          <w:sz w:val="20"/>
          <w:szCs w:val="20"/>
          <w:u w:val="single"/>
          <w:lang w:eastAsia="es-ES"/>
        </w:rPr>
      </w:pPr>
    </w:p>
    <w:p w:rsidR="00C3030E" w:rsidRPr="00C3030E" w:rsidRDefault="00C3030E" w:rsidP="00C3030E">
      <w:pPr>
        <w:spacing w:before="100" w:after="100" w:line="240" w:lineRule="auto"/>
        <w:rPr>
          <w:rFonts w:ascii="Arial" w:eastAsia="Times New Roman" w:hAnsi="Arial" w:cs="Arial"/>
          <w:color w:val="000000"/>
          <w:sz w:val="20"/>
          <w:szCs w:val="20"/>
          <w:lang w:eastAsia="es-ES"/>
        </w:rPr>
      </w:pPr>
      <w:bookmarkStart w:id="0" w:name="_GoBack"/>
      <w:bookmarkEnd w:id="0"/>
      <w:r w:rsidRPr="00C3030E">
        <w:rPr>
          <w:rFonts w:ascii="Arial" w:eastAsia="Times New Roman" w:hAnsi="Arial" w:cs="Arial"/>
          <w:b/>
          <w:bCs/>
          <w:color w:val="000000"/>
          <w:sz w:val="20"/>
          <w:szCs w:val="20"/>
          <w:u w:val="single"/>
          <w:lang w:eastAsia="es-ES"/>
        </w:rPr>
        <w:lastRenderedPageBreak/>
        <w:t>Porcentaje de trabajadores afectados, por tramos de variación salarial</w:t>
      </w:r>
    </w:p>
    <w:tbl>
      <w:tblPr>
        <w:tblW w:w="0" w:type="auto"/>
        <w:tblInd w:w="-5" w:type="dxa"/>
        <w:tblCellMar>
          <w:left w:w="0" w:type="dxa"/>
          <w:right w:w="0" w:type="dxa"/>
        </w:tblCellMar>
        <w:tblLook w:val="04A0" w:firstRow="1" w:lastRow="0" w:firstColumn="1" w:lastColumn="0" w:noHBand="0" w:noVBand="1"/>
      </w:tblPr>
      <w:tblGrid>
        <w:gridCol w:w="1786"/>
        <w:gridCol w:w="641"/>
      </w:tblGrid>
      <w:tr w:rsidR="00C3030E" w:rsidRPr="00C3030E" w:rsidTr="00C3030E">
        <w:trPr>
          <w:trHeight w:val="227"/>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Variación salarial</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w:t>
            </w:r>
          </w:p>
        </w:tc>
      </w:tr>
      <w:tr w:rsidR="00C3030E" w:rsidRPr="00C3030E" w:rsidTr="00C3030E">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Superior al 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74,52</w:t>
            </w:r>
          </w:p>
        </w:tc>
      </w:tr>
      <w:tr w:rsidR="00C3030E" w:rsidRPr="00C3030E" w:rsidTr="00C3030E">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Del 1 al 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16,38</w:t>
            </w:r>
          </w:p>
        </w:tc>
      </w:tr>
      <w:tr w:rsidR="00C3030E" w:rsidRPr="00C3030E" w:rsidTr="00C3030E">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Inferior al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9,09</w:t>
            </w:r>
          </w:p>
        </w:tc>
      </w:tr>
      <w:tr w:rsidR="00C3030E" w:rsidRPr="00C3030E" w:rsidTr="00C3030E">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100</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Porcentaje de trabajadores afectados, por tramos de jornada</w:t>
      </w:r>
    </w:p>
    <w:tbl>
      <w:tblPr>
        <w:tblW w:w="0" w:type="auto"/>
        <w:tblInd w:w="-5" w:type="dxa"/>
        <w:tblCellMar>
          <w:left w:w="0" w:type="dxa"/>
          <w:right w:w="0" w:type="dxa"/>
        </w:tblCellMar>
        <w:tblLook w:val="04A0" w:firstRow="1" w:lastRow="0" w:firstColumn="1" w:lastColumn="0" w:noHBand="0" w:noVBand="1"/>
      </w:tblPr>
      <w:tblGrid>
        <w:gridCol w:w="2119"/>
        <w:gridCol w:w="641"/>
      </w:tblGrid>
      <w:tr w:rsidR="00C3030E" w:rsidRPr="00C3030E" w:rsidTr="00C3030E">
        <w:trPr>
          <w:trHeight w:val="227"/>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Tramos de jornada</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Más de 40 h/</w:t>
            </w:r>
            <w:proofErr w:type="spellStart"/>
            <w:r w:rsidRPr="00C3030E">
              <w:rPr>
                <w:rFonts w:ascii="Arial" w:eastAsia="Times New Roman" w:hAnsi="Arial" w:cs="Arial"/>
                <w:color w:val="000000"/>
                <w:sz w:val="20"/>
                <w:szCs w:val="20"/>
                <w:lang w:eastAsia="es-ES"/>
              </w:rPr>
              <w:t>sem</w:t>
            </w:r>
            <w:proofErr w:type="spellEnd"/>
            <w:r w:rsidRPr="00C3030E">
              <w:rPr>
                <w:rFonts w:ascii="Arial" w:eastAsia="Times New Roman" w:hAnsi="Arial" w:cs="Arial"/>
                <w:color w:val="000000"/>
                <w:sz w:val="20"/>
                <w:szCs w:val="20"/>
                <w:lang w:eastAsia="es-ES"/>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4,92</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De 39,5 a 40 h/</w:t>
            </w:r>
            <w:proofErr w:type="spellStart"/>
            <w:r w:rsidRPr="00C3030E">
              <w:rPr>
                <w:rFonts w:ascii="Arial" w:eastAsia="Times New Roman" w:hAnsi="Arial" w:cs="Arial"/>
                <w:color w:val="000000"/>
                <w:sz w:val="20"/>
                <w:szCs w:val="20"/>
                <w:lang w:eastAsia="es-ES"/>
              </w:rPr>
              <w:t>sem</w:t>
            </w:r>
            <w:proofErr w:type="spellEnd"/>
            <w:r w:rsidRPr="00C3030E">
              <w:rPr>
                <w:rFonts w:ascii="Arial" w:eastAsia="Times New Roman" w:hAnsi="Arial" w:cs="Arial"/>
                <w:color w:val="000000"/>
                <w:sz w:val="20"/>
                <w:szCs w:val="20"/>
                <w:lang w:eastAsia="es-ES"/>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4,36</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De 38,5 a 39,5 h/</w:t>
            </w:r>
            <w:proofErr w:type="spellStart"/>
            <w:r w:rsidRPr="00C3030E">
              <w:rPr>
                <w:rFonts w:ascii="Arial" w:eastAsia="Times New Roman" w:hAnsi="Arial" w:cs="Arial"/>
                <w:color w:val="000000"/>
                <w:sz w:val="20"/>
                <w:szCs w:val="20"/>
                <w:lang w:eastAsia="es-ES"/>
              </w:rPr>
              <w:t>sem</w:t>
            </w:r>
            <w:proofErr w:type="spellEnd"/>
            <w:r w:rsidRPr="00C3030E">
              <w:rPr>
                <w:rFonts w:ascii="Arial" w:eastAsia="Times New Roman" w:hAnsi="Arial" w:cs="Arial"/>
                <w:color w:val="000000"/>
                <w:sz w:val="20"/>
                <w:szCs w:val="20"/>
                <w:lang w:eastAsia="es-ES"/>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47,11</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De 37,5 a 38,5 h/</w:t>
            </w:r>
            <w:proofErr w:type="spellStart"/>
            <w:r w:rsidRPr="00C3030E">
              <w:rPr>
                <w:rFonts w:ascii="Arial" w:eastAsia="Times New Roman" w:hAnsi="Arial" w:cs="Arial"/>
                <w:color w:val="000000"/>
                <w:sz w:val="20"/>
                <w:szCs w:val="20"/>
                <w:lang w:eastAsia="es-ES"/>
              </w:rPr>
              <w:t>sem</w:t>
            </w:r>
            <w:proofErr w:type="spellEnd"/>
            <w:r w:rsidRPr="00C3030E">
              <w:rPr>
                <w:rFonts w:ascii="Arial" w:eastAsia="Times New Roman" w:hAnsi="Arial" w:cs="Arial"/>
                <w:color w:val="000000"/>
                <w:sz w:val="20"/>
                <w:szCs w:val="20"/>
                <w:lang w:eastAsia="es-ES"/>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34,98</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Menos de 37,5 h/</w:t>
            </w:r>
            <w:proofErr w:type="spellStart"/>
            <w:r w:rsidRPr="00C3030E">
              <w:rPr>
                <w:rFonts w:ascii="Arial" w:eastAsia="Times New Roman" w:hAnsi="Arial" w:cs="Arial"/>
                <w:color w:val="000000"/>
                <w:sz w:val="20"/>
                <w:szCs w:val="20"/>
                <w:lang w:eastAsia="es-ES"/>
              </w:rPr>
              <w:t>sem</w:t>
            </w:r>
            <w:proofErr w:type="spellEnd"/>
            <w:r w:rsidRPr="00C3030E">
              <w:rPr>
                <w:rFonts w:ascii="Arial" w:eastAsia="Times New Roman" w:hAnsi="Arial" w:cs="Arial"/>
                <w:color w:val="000000"/>
                <w:sz w:val="20"/>
                <w:szCs w:val="20"/>
                <w:lang w:eastAsia="es-ES"/>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8,63</w:t>
            </w:r>
          </w:p>
        </w:tc>
      </w:tr>
      <w:tr w:rsidR="00C3030E" w:rsidRPr="00C3030E" w:rsidTr="00C3030E">
        <w:trPr>
          <w:trHeight w:val="259"/>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100</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Variación Salarial Media Pactada (%)</w:t>
      </w:r>
    </w:p>
    <w:tbl>
      <w:tblPr>
        <w:tblW w:w="0" w:type="auto"/>
        <w:tblInd w:w="-5" w:type="dxa"/>
        <w:tblCellMar>
          <w:left w:w="0" w:type="dxa"/>
          <w:right w:w="0" w:type="dxa"/>
        </w:tblCellMar>
        <w:tblLook w:val="04A0" w:firstRow="1" w:lastRow="0" w:firstColumn="1" w:lastColumn="0" w:noHBand="0" w:noVBand="1"/>
      </w:tblPr>
      <w:tblGrid>
        <w:gridCol w:w="1752"/>
        <w:gridCol w:w="530"/>
      </w:tblGrid>
      <w:tr w:rsidR="00C3030E" w:rsidRPr="00C3030E" w:rsidTr="00C3030E">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AÑO</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0,53</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0,50</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0,71</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1,01</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2017 (P)</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2018 (P)</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1,76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2019 (P)</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2,29</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2020 (P) (ene-dic)</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1,98</w:t>
            </w:r>
          </w:p>
        </w:tc>
      </w:tr>
    </w:tbl>
    <w:p w:rsidR="00C3030E" w:rsidRPr="00C3030E" w:rsidRDefault="00C3030E" w:rsidP="00C3030E">
      <w:pPr>
        <w:spacing w:before="100" w:after="100" w:line="240" w:lineRule="auto"/>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INAPLICACIONES DE CONVENIOS</w:t>
      </w:r>
    </w:p>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Ritmo de depósito de inaplicaciones de convenios</w:t>
      </w:r>
    </w:p>
    <w:tbl>
      <w:tblPr>
        <w:tblW w:w="0" w:type="auto"/>
        <w:tblInd w:w="-5" w:type="dxa"/>
        <w:tblCellMar>
          <w:left w:w="0" w:type="dxa"/>
          <w:right w:w="0" w:type="dxa"/>
        </w:tblCellMar>
        <w:tblLook w:val="04A0" w:firstRow="1" w:lastRow="0" w:firstColumn="1" w:lastColumn="0" w:noHBand="0" w:noVBand="1"/>
      </w:tblPr>
      <w:tblGrid>
        <w:gridCol w:w="1108"/>
        <w:gridCol w:w="985"/>
        <w:gridCol w:w="1168"/>
        <w:gridCol w:w="850"/>
      </w:tblGrid>
      <w:tr w:rsidR="00C3030E" w:rsidRPr="00C3030E" w:rsidTr="00C3030E">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AÑO</w:t>
            </w:r>
          </w:p>
        </w:tc>
        <w:tc>
          <w:tcPr>
            <w:tcW w:w="3003" w:type="dxa"/>
            <w:gridSpan w:val="3"/>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convenios</w:t>
            </w:r>
          </w:p>
        </w:tc>
      </w:tr>
      <w:tr w:rsidR="00C3030E" w:rsidRPr="00C3030E" w:rsidTr="00C3030E">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p>
        </w:tc>
        <w:tc>
          <w:tcPr>
            <w:tcW w:w="985"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Empresa</w:t>
            </w:r>
          </w:p>
        </w:tc>
        <w:tc>
          <w:tcPr>
            <w:tcW w:w="1168"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ámbito superior</w:t>
            </w:r>
          </w:p>
        </w:tc>
        <w:tc>
          <w:tcPr>
            <w:tcW w:w="850"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2014</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64</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2.009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2.073</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2015</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42</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1.395</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1.437</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2016</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23</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1.303</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1.326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2017</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31</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1.045</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1.076</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2018</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973</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987</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2019</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15</w:t>
            </w:r>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1.029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1.044</w:t>
            </w:r>
          </w:p>
        </w:tc>
      </w:tr>
      <w:tr w:rsidR="00C3030E" w:rsidRPr="00C3030E" w:rsidTr="00C3030E">
        <w:trPr>
          <w:trHeight w:val="20"/>
        </w:trPr>
        <w:tc>
          <w:tcPr>
            <w:tcW w:w="0" w:type="auto"/>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2020 (ene)</w:t>
            </w:r>
          </w:p>
        </w:tc>
        <w:tc>
          <w:tcPr>
            <w:tcW w:w="985"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9"/>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w:t>
            </w:r>
          </w:p>
        </w:tc>
        <w:tc>
          <w:tcPr>
            <w:tcW w:w="1168"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87</w:t>
            </w:r>
          </w:p>
        </w:tc>
        <w:tc>
          <w:tcPr>
            <w:tcW w:w="85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90</w:t>
            </w:r>
          </w:p>
        </w:tc>
      </w:tr>
    </w:tbl>
    <w:p w:rsidR="00C3030E" w:rsidRPr="00C3030E" w:rsidRDefault="00C3030E" w:rsidP="00C3030E">
      <w:pPr>
        <w:spacing w:before="100" w:after="100" w:line="240" w:lineRule="auto"/>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Trabajadores afectados por inaplicaciones de convenios</w:t>
      </w:r>
    </w:p>
    <w:tbl>
      <w:tblPr>
        <w:tblW w:w="0" w:type="auto"/>
        <w:tblInd w:w="-5" w:type="dxa"/>
        <w:tblCellMar>
          <w:left w:w="0" w:type="dxa"/>
          <w:right w:w="0" w:type="dxa"/>
        </w:tblCellMar>
        <w:tblLook w:val="04A0" w:firstRow="1" w:lastRow="0" w:firstColumn="1" w:lastColumn="0" w:noHBand="0" w:noVBand="1"/>
      </w:tblPr>
      <w:tblGrid>
        <w:gridCol w:w="1108"/>
        <w:gridCol w:w="1019"/>
        <w:gridCol w:w="1134"/>
        <w:gridCol w:w="752"/>
      </w:tblGrid>
      <w:tr w:rsidR="00C3030E" w:rsidRPr="00C3030E" w:rsidTr="00C3030E">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AÑO</w:t>
            </w:r>
          </w:p>
        </w:tc>
        <w:tc>
          <w:tcPr>
            <w:tcW w:w="2905" w:type="dxa"/>
            <w:gridSpan w:val="3"/>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convenios</w:t>
            </w:r>
          </w:p>
        </w:tc>
      </w:tr>
      <w:tr w:rsidR="00C3030E" w:rsidRPr="00C3030E" w:rsidTr="00C3030E">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p>
        </w:tc>
        <w:tc>
          <w:tcPr>
            <w:tcW w:w="1019"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Empresa</w:t>
            </w:r>
          </w:p>
        </w:tc>
        <w:tc>
          <w:tcPr>
            <w:tcW w:w="1134"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de ámbito superior</w:t>
            </w:r>
          </w:p>
        </w:tc>
        <w:tc>
          <w:tcPr>
            <w:tcW w:w="7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2014</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8.809</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57.394</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66.203</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2015</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6.704</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36.469</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43.173</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2016</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1.781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30.283</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32.064</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2017</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2.107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21.518</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23.625</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2018</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1.046</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19.878</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20.924</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2019</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1.201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21.079</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22.280</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2020 (ene)</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180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1.349</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1.529</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En el mes de enero de 2020, se han depositado en los Registros de las Autoridades Laborales un total de </w:t>
      </w:r>
      <w:r w:rsidRPr="00C3030E">
        <w:rPr>
          <w:rFonts w:ascii="Arial" w:eastAsia="Times New Roman" w:hAnsi="Arial" w:cs="Arial"/>
          <w:b/>
          <w:bCs/>
          <w:color w:val="000000"/>
          <w:sz w:val="20"/>
          <w:szCs w:val="20"/>
          <w:lang w:eastAsia="es-ES"/>
        </w:rPr>
        <w:t>90</w:t>
      </w:r>
      <w:r w:rsidRPr="00C3030E">
        <w:rPr>
          <w:rFonts w:ascii="Arial" w:eastAsia="Times New Roman" w:hAnsi="Arial" w:cs="Arial"/>
          <w:color w:val="000000"/>
          <w:sz w:val="20"/>
          <w:szCs w:val="20"/>
          <w:lang w:eastAsia="es-ES"/>
        </w:rPr>
        <w:t> inaplicaciones de convenios, que involucran a </w:t>
      </w:r>
      <w:r w:rsidRPr="00C3030E">
        <w:rPr>
          <w:rFonts w:ascii="Arial" w:eastAsia="Times New Roman" w:hAnsi="Arial" w:cs="Arial"/>
          <w:b/>
          <w:bCs/>
          <w:color w:val="000000"/>
          <w:sz w:val="20"/>
          <w:szCs w:val="20"/>
          <w:lang w:eastAsia="es-ES"/>
        </w:rPr>
        <w:t>89</w:t>
      </w:r>
      <w:r w:rsidRPr="00C3030E">
        <w:rPr>
          <w:rFonts w:ascii="Arial" w:eastAsia="Times New Roman" w:hAnsi="Arial" w:cs="Arial"/>
          <w:color w:val="000000"/>
          <w:sz w:val="20"/>
          <w:szCs w:val="20"/>
          <w:lang w:eastAsia="es-ES"/>
        </w:rPr>
        <w:t> empresas y afectan a </w:t>
      </w:r>
      <w:r w:rsidRPr="00C3030E">
        <w:rPr>
          <w:rFonts w:ascii="Arial" w:eastAsia="Times New Roman" w:hAnsi="Arial" w:cs="Arial"/>
          <w:b/>
          <w:bCs/>
          <w:color w:val="000000"/>
          <w:sz w:val="20"/>
          <w:szCs w:val="20"/>
          <w:lang w:eastAsia="es-ES"/>
        </w:rPr>
        <w:t>1.529</w:t>
      </w:r>
      <w:r w:rsidRPr="00C3030E">
        <w:rPr>
          <w:rFonts w:ascii="Arial" w:eastAsia="Times New Roman" w:hAnsi="Arial" w:cs="Arial"/>
          <w:color w:val="000000"/>
          <w:sz w:val="20"/>
          <w:szCs w:val="20"/>
          <w:lang w:eastAsia="es-ES"/>
        </w:rPr>
        <w:t> trabajadores.</w:t>
      </w:r>
    </w:p>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lastRenderedPageBreak/>
        <w:t>Al comparar la evolución de las inaplicaciones con el mismo periodo del año anterior, se observa que se han depositado </w:t>
      </w:r>
      <w:r w:rsidRPr="00C3030E">
        <w:rPr>
          <w:rFonts w:ascii="Arial" w:eastAsia="Times New Roman" w:hAnsi="Arial" w:cs="Arial"/>
          <w:b/>
          <w:bCs/>
          <w:color w:val="000000"/>
          <w:sz w:val="20"/>
          <w:szCs w:val="20"/>
          <w:lang w:eastAsia="es-ES"/>
        </w:rPr>
        <w:t>6</w:t>
      </w:r>
      <w:r w:rsidRPr="00C3030E">
        <w:rPr>
          <w:rFonts w:ascii="Arial" w:eastAsia="Times New Roman" w:hAnsi="Arial" w:cs="Arial"/>
          <w:color w:val="000000"/>
          <w:sz w:val="20"/>
          <w:szCs w:val="20"/>
          <w:lang w:eastAsia="es-ES"/>
        </w:rPr>
        <w:t> inaplicaciones más, lo que supone un incremento del </w:t>
      </w:r>
      <w:r w:rsidRPr="00C3030E">
        <w:rPr>
          <w:rFonts w:ascii="Arial" w:eastAsia="Times New Roman" w:hAnsi="Arial" w:cs="Arial"/>
          <w:b/>
          <w:bCs/>
          <w:color w:val="000000"/>
          <w:sz w:val="20"/>
          <w:szCs w:val="20"/>
          <w:lang w:eastAsia="es-ES"/>
        </w:rPr>
        <w:t>7,14%</w:t>
      </w:r>
      <w:r w:rsidRPr="00C3030E">
        <w:rPr>
          <w:rFonts w:ascii="Arial" w:eastAsia="Times New Roman" w:hAnsi="Arial" w:cs="Arial"/>
          <w:color w:val="000000"/>
          <w:sz w:val="20"/>
          <w:szCs w:val="20"/>
          <w:lang w:eastAsia="es-ES"/>
        </w:rPr>
        <w:t>.</w:t>
      </w:r>
    </w:p>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Según el tamaño de la empresa</w:t>
      </w:r>
    </w:p>
    <w:tbl>
      <w:tblPr>
        <w:tblW w:w="0" w:type="auto"/>
        <w:tblInd w:w="-5" w:type="dxa"/>
        <w:tblCellMar>
          <w:left w:w="0" w:type="dxa"/>
          <w:right w:w="0" w:type="dxa"/>
        </w:tblCellMar>
        <w:tblLook w:val="04A0" w:firstRow="1" w:lastRow="0" w:firstColumn="1" w:lastColumn="0" w:noHBand="0" w:noVBand="1"/>
      </w:tblPr>
      <w:tblGrid>
        <w:gridCol w:w="1341"/>
        <w:gridCol w:w="1519"/>
        <w:gridCol w:w="1109"/>
        <w:gridCol w:w="1418"/>
      </w:tblGrid>
      <w:tr w:rsidR="00C3030E" w:rsidRPr="00C3030E" w:rsidTr="00C3030E">
        <w:trPr>
          <w:trHeight w:val="480"/>
        </w:trPr>
        <w:tc>
          <w:tcPr>
            <w:tcW w:w="1341"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proofErr w:type="spellStart"/>
            <w:r w:rsidRPr="00C3030E">
              <w:rPr>
                <w:rFonts w:ascii="Arial" w:eastAsia="Times New Roman" w:hAnsi="Arial" w:cs="Arial"/>
                <w:b/>
                <w:bCs/>
                <w:color w:val="000000"/>
                <w:sz w:val="20"/>
                <w:szCs w:val="20"/>
                <w:lang w:eastAsia="es-ES"/>
              </w:rPr>
              <w:t>Nº</w:t>
            </w:r>
            <w:proofErr w:type="spellEnd"/>
            <w:r w:rsidRPr="00C3030E">
              <w:rPr>
                <w:rFonts w:ascii="Arial" w:eastAsia="Times New Roman" w:hAnsi="Arial" w:cs="Arial"/>
                <w:b/>
                <w:bCs/>
                <w:color w:val="000000"/>
                <w:sz w:val="20"/>
                <w:szCs w:val="20"/>
                <w:lang w:eastAsia="es-ES"/>
              </w:rPr>
              <w:t xml:space="preserve"> de trabajadores</w:t>
            </w:r>
          </w:p>
        </w:tc>
        <w:tc>
          <w:tcPr>
            <w:tcW w:w="151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Inaplicaciones de convenios</w:t>
            </w:r>
          </w:p>
        </w:tc>
        <w:tc>
          <w:tcPr>
            <w:tcW w:w="110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Empresas</w:t>
            </w:r>
          </w:p>
        </w:tc>
        <w:tc>
          <w:tcPr>
            <w:tcW w:w="1418"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Trabajadores afectados</w:t>
            </w:r>
          </w:p>
        </w:tc>
      </w:tr>
      <w:tr w:rsidR="00C3030E" w:rsidRPr="00C3030E" w:rsidTr="00C3030E">
        <w:trPr>
          <w:trHeight w:val="252"/>
        </w:trPr>
        <w:tc>
          <w:tcPr>
            <w:tcW w:w="13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1-49</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84"/>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79</w:t>
            </w:r>
          </w:p>
        </w:tc>
        <w:tc>
          <w:tcPr>
            <w:tcW w:w="1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5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78</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53"/>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804</w:t>
            </w:r>
          </w:p>
        </w:tc>
      </w:tr>
      <w:tr w:rsidR="00C3030E" w:rsidRPr="00C3030E" w:rsidTr="00C3030E">
        <w:trPr>
          <w:trHeight w:val="252"/>
        </w:trPr>
        <w:tc>
          <w:tcPr>
            <w:tcW w:w="13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50-249</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84"/>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w:t>
            </w:r>
          </w:p>
        </w:tc>
        <w:tc>
          <w:tcPr>
            <w:tcW w:w="1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5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53"/>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522</w:t>
            </w:r>
          </w:p>
        </w:tc>
      </w:tr>
      <w:tr w:rsidR="00C3030E" w:rsidRPr="00C3030E" w:rsidTr="00C3030E">
        <w:trPr>
          <w:trHeight w:val="252"/>
        </w:trPr>
        <w:tc>
          <w:tcPr>
            <w:tcW w:w="13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250 o más</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84"/>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w:t>
            </w:r>
          </w:p>
        </w:tc>
        <w:tc>
          <w:tcPr>
            <w:tcW w:w="1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5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53"/>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201</w:t>
            </w:r>
          </w:p>
        </w:tc>
      </w:tr>
      <w:tr w:rsidR="00C3030E" w:rsidRPr="00C3030E" w:rsidTr="00C3030E">
        <w:trPr>
          <w:trHeight w:val="252"/>
        </w:trPr>
        <w:tc>
          <w:tcPr>
            <w:tcW w:w="13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No consta</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84"/>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w:t>
            </w:r>
          </w:p>
        </w:tc>
        <w:tc>
          <w:tcPr>
            <w:tcW w:w="1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15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53"/>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w:t>
            </w:r>
          </w:p>
        </w:tc>
      </w:tr>
      <w:tr w:rsidR="00C3030E" w:rsidRPr="00C3030E" w:rsidTr="00C3030E">
        <w:trPr>
          <w:trHeight w:val="252"/>
        </w:trPr>
        <w:tc>
          <w:tcPr>
            <w:tcW w:w="1341"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c>
          <w:tcPr>
            <w:tcW w:w="1519"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ind w:right="384"/>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90</w:t>
            </w:r>
          </w:p>
        </w:tc>
        <w:tc>
          <w:tcPr>
            <w:tcW w:w="1109"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ind w:right="150"/>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89</w:t>
            </w:r>
          </w:p>
        </w:tc>
        <w:tc>
          <w:tcPr>
            <w:tcW w:w="1418"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ind w:right="353"/>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1.529</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u w:val="single"/>
          <w:lang w:eastAsia="es-ES"/>
        </w:rPr>
        <w:t>Según las condiciones de trabajo inaplicadas</w:t>
      </w:r>
    </w:p>
    <w:tbl>
      <w:tblPr>
        <w:tblW w:w="0" w:type="auto"/>
        <w:tblInd w:w="-5" w:type="dxa"/>
        <w:tblCellMar>
          <w:left w:w="0" w:type="dxa"/>
          <w:right w:w="0" w:type="dxa"/>
        </w:tblCellMar>
        <w:tblLook w:val="04A0" w:firstRow="1" w:lastRow="0" w:firstColumn="1" w:lastColumn="0" w:noHBand="0" w:noVBand="1"/>
      </w:tblPr>
      <w:tblGrid>
        <w:gridCol w:w="3541"/>
        <w:gridCol w:w="1519"/>
        <w:gridCol w:w="1397"/>
      </w:tblGrid>
      <w:tr w:rsidR="00C3030E" w:rsidRPr="00C3030E" w:rsidTr="00C3030E">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Condición inaplicada</w:t>
            </w:r>
          </w:p>
        </w:tc>
        <w:tc>
          <w:tcPr>
            <w:tcW w:w="151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Inaplicaciones de convenios</w:t>
            </w:r>
          </w:p>
        </w:tc>
        <w:tc>
          <w:tcPr>
            <w:tcW w:w="1397"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C3030E" w:rsidRPr="00C3030E" w:rsidRDefault="00C3030E" w:rsidP="00C3030E">
            <w:pPr>
              <w:spacing w:after="0" w:line="240" w:lineRule="auto"/>
              <w:jc w:val="center"/>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Trabajadores afectados</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Cuantía salarial</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61</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804</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 xml:space="preserve">Cuantía salarial y </w:t>
            </w:r>
            <w:proofErr w:type="spellStart"/>
            <w:r w:rsidRPr="00C3030E">
              <w:rPr>
                <w:rFonts w:ascii="Arial" w:eastAsia="Times New Roman" w:hAnsi="Arial" w:cs="Arial"/>
                <w:color w:val="000000"/>
                <w:sz w:val="20"/>
                <w:szCs w:val="20"/>
                <w:lang w:eastAsia="es-ES"/>
              </w:rPr>
              <w:t>Stma</w:t>
            </w:r>
            <w:proofErr w:type="spellEnd"/>
            <w:r w:rsidRPr="00C3030E">
              <w:rPr>
                <w:rFonts w:ascii="Arial" w:eastAsia="Times New Roman" w:hAnsi="Arial" w:cs="Arial"/>
                <w:color w:val="000000"/>
                <w:sz w:val="20"/>
                <w:szCs w:val="20"/>
                <w:lang w:eastAsia="es-ES"/>
              </w:rPr>
              <w:t>. rem.</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12</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174</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Resto de casos</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6</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97</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 xml:space="preserve">Jornada, Horario y </w:t>
            </w:r>
            <w:proofErr w:type="spellStart"/>
            <w:r w:rsidRPr="00C3030E">
              <w:rPr>
                <w:rFonts w:ascii="Arial" w:eastAsia="Times New Roman" w:hAnsi="Arial" w:cs="Arial"/>
                <w:color w:val="000000"/>
                <w:sz w:val="20"/>
                <w:szCs w:val="20"/>
                <w:lang w:eastAsia="es-ES"/>
              </w:rPr>
              <w:t>Stma.rendimiento</w:t>
            </w:r>
            <w:proofErr w:type="spellEnd"/>
            <w:r w:rsidRPr="00C3030E">
              <w:rPr>
                <w:rFonts w:ascii="Arial" w:eastAsia="Times New Roman" w:hAnsi="Arial" w:cs="Arial"/>
                <w:color w:val="000000"/>
                <w:sz w:val="20"/>
                <w:szCs w:val="20"/>
                <w:lang w:eastAsia="es-ES"/>
              </w:rPr>
              <w:t>.</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218</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Sistema de trabajo y rendimiento</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49</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Sistema de remuneración</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3</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42</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proofErr w:type="spellStart"/>
            <w:r w:rsidRPr="00C3030E">
              <w:rPr>
                <w:rFonts w:ascii="Arial" w:eastAsia="Times New Roman" w:hAnsi="Arial" w:cs="Arial"/>
                <w:color w:val="000000"/>
                <w:sz w:val="20"/>
                <w:szCs w:val="20"/>
                <w:lang w:eastAsia="es-ES"/>
              </w:rPr>
              <w:t>Stma.rem</w:t>
            </w:r>
            <w:proofErr w:type="spellEnd"/>
            <w:r w:rsidRPr="00C3030E">
              <w:rPr>
                <w:rFonts w:ascii="Arial" w:eastAsia="Times New Roman" w:hAnsi="Arial" w:cs="Arial"/>
                <w:color w:val="000000"/>
                <w:sz w:val="20"/>
                <w:szCs w:val="20"/>
                <w:lang w:eastAsia="es-ES"/>
              </w:rPr>
              <w:t xml:space="preserve">., </w:t>
            </w:r>
            <w:proofErr w:type="spellStart"/>
            <w:r w:rsidRPr="00C3030E">
              <w:rPr>
                <w:rFonts w:ascii="Arial" w:eastAsia="Times New Roman" w:hAnsi="Arial" w:cs="Arial"/>
                <w:color w:val="000000"/>
                <w:sz w:val="20"/>
                <w:szCs w:val="20"/>
                <w:lang w:eastAsia="es-ES"/>
              </w:rPr>
              <w:t>Jord</w:t>
            </w:r>
            <w:proofErr w:type="spellEnd"/>
            <w:r w:rsidRPr="00C3030E">
              <w:rPr>
                <w:rFonts w:ascii="Arial" w:eastAsia="Times New Roman" w:hAnsi="Arial" w:cs="Arial"/>
                <w:color w:val="000000"/>
                <w:sz w:val="20"/>
                <w:szCs w:val="20"/>
                <w:lang w:eastAsia="es-ES"/>
              </w:rPr>
              <w:t xml:space="preserve">., Hor. y </w:t>
            </w:r>
            <w:proofErr w:type="spellStart"/>
            <w:r w:rsidRPr="00C3030E">
              <w:rPr>
                <w:rFonts w:ascii="Arial" w:eastAsia="Times New Roman" w:hAnsi="Arial" w:cs="Arial"/>
                <w:color w:val="000000"/>
                <w:sz w:val="20"/>
                <w:szCs w:val="20"/>
                <w:lang w:eastAsia="es-ES"/>
              </w:rPr>
              <w:t>dist</w:t>
            </w:r>
            <w:proofErr w:type="spellEnd"/>
            <w:r w:rsidRPr="00C3030E">
              <w:rPr>
                <w:rFonts w:ascii="Arial" w:eastAsia="Times New Roman" w:hAnsi="Arial" w:cs="Arial"/>
                <w:color w:val="000000"/>
                <w:sz w:val="20"/>
                <w:szCs w:val="20"/>
                <w:lang w:eastAsia="es-ES"/>
              </w:rPr>
              <w:t>. tiempo…</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45</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Jornada de trabajo</w:t>
            </w:r>
          </w:p>
        </w:tc>
        <w:tc>
          <w:tcPr>
            <w:tcW w:w="15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100</w:t>
            </w:r>
          </w:p>
        </w:tc>
      </w:tr>
      <w:tr w:rsidR="00C3030E" w:rsidRPr="00C3030E" w:rsidTr="00C3030E">
        <w:trPr>
          <w:trHeight w:val="20"/>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jc w:val="both"/>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TOTAL</w:t>
            </w:r>
          </w:p>
        </w:tc>
        <w:tc>
          <w:tcPr>
            <w:tcW w:w="1519"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ind w:right="315"/>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90</w:t>
            </w:r>
          </w:p>
        </w:tc>
        <w:tc>
          <w:tcPr>
            <w:tcW w:w="1397"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C3030E" w:rsidRPr="00C3030E" w:rsidRDefault="00C3030E" w:rsidP="00C3030E">
            <w:pPr>
              <w:spacing w:after="0" w:line="240" w:lineRule="auto"/>
              <w:ind w:right="290"/>
              <w:jc w:val="right"/>
              <w:rPr>
                <w:rFonts w:ascii="Arial" w:eastAsia="Times New Roman" w:hAnsi="Arial" w:cs="Arial"/>
                <w:color w:val="000000"/>
                <w:sz w:val="20"/>
                <w:szCs w:val="20"/>
                <w:lang w:eastAsia="es-ES"/>
              </w:rPr>
            </w:pPr>
            <w:r w:rsidRPr="00C3030E">
              <w:rPr>
                <w:rFonts w:ascii="Arial" w:eastAsia="Times New Roman" w:hAnsi="Arial" w:cs="Arial"/>
                <w:b/>
                <w:bCs/>
                <w:color w:val="000000"/>
                <w:sz w:val="20"/>
                <w:szCs w:val="20"/>
                <w:lang w:eastAsia="es-ES"/>
              </w:rPr>
              <w:t>1.529</w:t>
            </w:r>
          </w:p>
        </w:tc>
      </w:tr>
    </w:tbl>
    <w:p w:rsidR="00C3030E" w:rsidRPr="00C3030E" w:rsidRDefault="00C3030E" w:rsidP="00C3030E">
      <w:pPr>
        <w:spacing w:before="100" w:after="100" w:line="240" w:lineRule="auto"/>
        <w:jc w:val="both"/>
        <w:rPr>
          <w:rFonts w:ascii="Arial" w:eastAsia="Times New Roman" w:hAnsi="Arial" w:cs="Arial"/>
          <w:color w:val="000000"/>
          <w:sz w:val="20"/>
          <w:szCs w:val="20"/>
          <w:lang w:eastAsia="es-ES"/>
        </w:rPr>
      </w:pPr>
      <w:r w:rsidRPr="00C3030E">
        <w:rPr>
          <w:rFonts w:ascii="Arial" w:eastAsia="Times New Roman" w:hAnsi="Arial" w:cs="Arial"/>
          <w:color w:val="000000"/>
          <w:sz w:val="20"/>
          <w:szCs w:val="20"/>
          <w:lang w:eastAsia="es-ES"/>
        </w:rPr>
        <w:t> </w:t>
      </w:r>
    </w:p>
    <w:p w:rsidR="00C3030E" w:rsidRDefault="00C3030E"/>
    <w:sectPr w:rsidR="00C30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0E"/>
    <w:rsid w:val="00C3030E"/>
    <w:rsid w:val="00E27B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6E97"/>
  <w15:chartTrackingRefBased/>
  <w15:docId w15:val="{3D2E7FA5-95EB-4965-BF3A-0CF86A9E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2020-03-23T10:41:00Z</dcterms:created>
  <dcterms:modified xsi:type="dcterms:W3CDTF">2020-03-23T11:24:00Z</dcterms:modified>
</cp:coreProperties>
</file>