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53" w:rsidRPr="004B6653" w:rsidRDefault="004B6653" w:rsidP="004B6653">
      <w:pPr>
        <w:spacing w:before="375" w:after="150" w:line="240" w:lineRule="auto"/>
        <w:jc w:val="both"/>
        <w:outlineLvl w:val="3"/>
        <w:rPr>
          <w:rFonts w:ascii="Comic Sans MS" w:eastAsia="Times New Roman" w:hAnsi="Comic Sans MS" w:cs="Open Sans"/>
          <w:b/>
          <w:bCs/>
          <w:color w:val="666666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b/>
          <w:bCs/>
          <w:color w:val="666666"/>
          <w:sz w:val="32"/>
          <w:szCs w:val="32"/>
          <w:lang w:eastAsia="es-ES"/>
        </w:rPr>
        <w:t>FISCALIDAD</w:t>
      </w:r>
    </w:p>
    <w:p w:rsidR="004B6653" w:rsidRPr="004B6653" w:rsidRDefault="004B6653" w:rsidP="004B6653">
      <w:pPr>
        <w:spacing w:before="75" w:after="150" w:line="240" w:lineRule="auto"/>
        <w:jc w:val="both"/>
        <w:outlineLvl w:val="0"/>
        <w:rPr>
          <w:rFonts w:ascii="Comic Sans MS" w:eastAsia="Times New Roman" w:hAnsi="Comic Sans MS" w:cs="Open Sans"/>
          <w:color w:val="555555"/>
          <w:kern w:val="36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color w:val="555555"/>
          <w:kern w:val="36"/>
          <w:sz w:val="32"/>
          <w:szCs w:val="32"/>
          <w:lang w:eastAsia="es-ES"/>
        </w:rPr>
        <w:t>Hacienda, a la caza de los falsos despidos improcedentes (que sí deben pagar IRPF)</w:t>
      </w:r>
    </w:p>
    <w:p w:rsidR="004B6653" w:rsidRPr="004B6653" w:rsidRDefault="004B6653" w:rsidP="004B6653">
      <w:pPr>
        <w:spacing w:before="75" w:after="150" w:line="240" w:lineRule="auto"/>
        <w:jc w:val="both"/>
        <w:outlineLvl w:val="2"/>
        <w:rPr>
          <w:rFonts w:ascii="Comic Sans MS" w:eastAsia="Times New Roman" w:hAnsi="Comic Sans MS" w:cs="Open Sans"/>
          <w:color w:val="555555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color w:val="555555"/>
          <w:sz w:val="32"/>
          <w:szCs w:val="32"/>
          <w:lang w:eastAsia="es-ES"/>
        </w:rPr>
        <w:t>La existencia de un acuerdo entre trabajador y empleado para que este pueda cobrar el paro implica que la indemnización no queda exenta de impuestos</w:t>
      </w:r>
    </w:p>
    <w:p w:rsidR="004B6653" w:rsidRPr="004B6653" w:rsidRDefault="004B6653" w:rsidP="004B6653">
      <w:pPr>
        <w:spacing w:after="0" w:line="192" w:lineRule="auto"/>
        <w:jc w:val="both"/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noProof/>
          <w:color w:val="2F2F2F"/>
          <w:sz w:val="32"/>
          <w:szCs w:val="32"/>
          <w:lang w:eastAsia="es-ES"/>
        </w:rPr>
        <w:drawing>
          <wp:inline distT="0" distB="0" distL="0" distR="0" wp14:anchorId="095A667A" wp14:editId="6C23B9D8">
            <wp:extent cx="4162425" cy="2337496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10" cy="233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53" w:rsidRPr="004B6653" w:rsidRDefault="004B6653" w:rsidP="004B6653">
      <w:pPr>
        <w:spacing w:after="150" w:line="192" w:lineRule="auto"/>
        <w:jc w:val="both"/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  <w:t> </w:t>
      </w:r>
    </w:p>
    <w:p w:rsidR="004B6653" w:rsidRPr="004B6653" w:rsidRDefault="004B6653" w:rsidP="004B6653">
      <w:pPr>
        <w:spacing w:after="150" w:line="192" w:lineRule="auto"/>
        <w:jc w:val="both"/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  <w:t>El Ministerio de Hacienda está prestando una exhaustiva atención a la tributación de los casos de falsos despidos improcedentes, toda vez que las indemnizaciones ligadas a estos despidos -si son realmente improcedentes- están exentas de tributar por el IRPF (dentro de los límites y condiciones establecidos por la ley), pero no así en el caso de que el cese sea consensuado entre el trabajador y la empresa. </w:t>
      </w:r>
    </w:p>
    <w:p w:rsidR="004B6653" w:rsidRPr="004B6653" w:rsidRDefault="004B6653" w:rsidP="004B6653">
      <w:pPr>
        <w:spacing w:after="150" w:line="192" w:lineRule="auto"/>
        <w:jc w:val="both"/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  <w:t>Es algo más habitual de lo que parece. Muchas empresas acuerdan con el trabajador el despido improcedente del mismo de forma fraudulenta para evadir el pago del IRPF de la liquidación o finiquito (ya que está exenta de impuestos). Por ejemplo, en los casos en los que el trabajador pide a la empresa que le despida y “arregle los papeles” para poder cobrar el paro y se pacta la indemnización por un despido improcedente. </w:t>
      </w:r>
    </w:p>
    <w:p w:rsidR="004B6653" w:rsidRPr="004B6653" w:rsidRDefault="004B6653" w:rsidP="004B6653">
      <w:pPr>
        <w:spacing w:after="150" w:line="192" w:lineRule="auto"/>
        <w:jc w:val="both"/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  <w:t>La Agencia Tributaria pone foco en estos casos y es posible que al ver que la empresa entrega el finiquito al empleado y este no reclama (mediante la papeleta de conciliación) sobreentienda que existe un pacto entre empresa y empleado, exigiendo así que toda la indemnización tribute por el IRPF. </w:t>
      </w:r>
    </w:p>
    <w:p w:rsidR="004B6653" w:rsidRPr="004B6653" w:rsidRDefault="004B6653" w:rsidP="004B6653">
      <w:pPr>
        <w:spacing w:after="150" w:line="192" w:lineRule="auto"/>
        <w:jc w:val="both"/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  <w:t xml:space="preserve">La Audiencia Nacional ya se ha pronunciado en varios casos análogos. Otras sentencias, </w:t>
      </w:r>
      <w:hyperlink r:id="rId5" w:tgtFrame="_blank" w:history="1">
        <w:r w:rsidRPr="004B6653">
          <w:rPr>
            <w:rFonts w:ascii="Comic Sans MS" w:eastAsia="Times New Roman" w:hAnsi="Comic Sans MS" w:cs="Times New Roman"/>
            <w:color w:val="2F2F2F"/>
            <w:sz w:val="32"/>
            <w:szCs w:val="32"/>
            <w:lang w:eastAsia="es-ES"/>
          </w:rPr>
          <w:t>como esta dictada el 30 de enero de 2019</w:t>
        </w:r>
      </w:hyperlink>
      <w:r w:rsidRPr="004B6653"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  <w:t>, llegan a la conclusión de la existencia de un pacto entre ambas partes y la indemnización no está cubierta por la exención del IRPF. </w:t>
      </w:r>
    </w:p>
    <w:p w:rsidR="004B6653" w:rsidRPr="004B6653" w:rsidRDefault="004B6653" w:rsidP="004B6653">
      <w:pPr>
        <w:spacing w:after="150" w:line="192" w:lineRule="auto"/>
        <w:jc w:val="both"/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  <w:t xml:space="preserve">No </w:t>
      </w:r>
      <w:bookmarkStart w:id="0" w:name="_GoBack"/>
      <w:bookmarkEnd w:id="0"/>
      <w:r w:rsidR="005B3A2A" w:rsidRPr="004B6653"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  <w:t>obstante,</w:t>
      </w:r>
      <w:r w:rsidRPr="004B6653"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  <w:t xml:space="preserve"> y a pesar de que se haya intensificado la vigilancia para asegurar que la improcedencia del despido es real, lo cierto es que Hacienda no ha establecido medidas oficiales al respecto. </w:t>
      </w:r>
    </w:p>
    <w:p w:rsidR="004B6653" w:rsidRPr="004B6653" w:rsidRDefault="004B6653" w:rsidP="004B6653">
      <w:pPr>
        <w:spacing w:after="150" w:line="192" w:lineRule="auto"/>
        <w:jc w:val="both"/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  <w:t>Se insiste en advertir del peligro y las consecuencias negativas que pueden conllevar los pactos entre empresas y trabajadores en un despido sin acudir a conciliaciones laborales. </w:t>
      </w:r>
    </w:p>
    <w:p w:rsidR="004B6653" w:rsidRPr="004B6653" w:rsidRDefault="004B6653" w:rsidP="004B6653">
      <w:pPr>
        <w:spacing w:after="150" w:line="192" w:lineRule="auto"/>
        <w:jc w:val="both"/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  <w:t>El acto de conciliación laboral es el paso previo a una demanda judicial donde ambas partes intentan llegar a un acuerdo satisfactorio que pueda resolver el conflicto. </w:t>
      </w:r>
    </w:p>
    <w:p w:rsidR="004B6653" w:rsidRPr="004B6653" w:rsidRDefault="004B6653" w:rsidP="004B6653">
      <w:pPr>
        <w:spacing w:after="150" w:line="192" w:lineRule="auto"/>
        <w:jc w:val="both"/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  <w:t>Los casos en los que hay una conciliación laboral, son, además de los despidos: </w:t>
      </w:r>
    </w:p>
    <w:p w:rsidR="004B6653" w:rsidRPr="004B6653" w:rsidRDefault="004B6653" w:rsidP="004B6653">
      <w:pPr>
        <w:spacing w:after="150" w:line="192" w:lineRule="auto"/>
        <w:jc w:val="both"/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  <w:t>· Las reclamaciones de cantidades (salarios pendientes, vacaciones y horas extras no abonadas, etc). </w:t>
      </w:r>
    </w:p>
    <w:p w:rsidR="004B6653" w:rsidRPr="004B6653" w:rsidRDefault="004B6653" w:rsidP="004B6653">
      <w:pPr>
        <w:spacing w:after="150" w:line="192" w:lineRule="auto"/>
        <w:jc w:val="both"/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  <w:t>· Modificaciones en las condiciones laborales o movilidad geográfica del trabajador o de la empresa.</w:t>
      </w:r>
    </w:p>
    <w:p w:rsidR="004B6653" w:rsidRPr="004B6653" w:rsidRDefault="004B6653" w:rsidP="004B6653">
      <w:pPr>
        <w:spacing w:after="150" w:line="192" w:lineRule="auto"/>
        <w:jc w:val="both"/>
        <w:rPr>
          <w:rFonts w:ascii="Comic Sans MS" w:eastAsia="Times New Roman" w:hAnsi="Comic Sans MS" w:cs="Open Sans"/>
          <w:color w:val="2F2F2F"/>
          <w:sz w:val="32"/>
          <w:szCs w:val="32"/>
          <w:lang w:eastAsia="es-ES"/>
        </w:rPr>
      </w:pPr>
      <w:bookmarkStart w:id="1" w:name="comment-point"/>
      <w:bookmarkEnd w:id="1"/>
    </w:p>
    <w:p w:rsidR="004B6653" w:rsidRPr="004B6653" w:rsidRDefault="004B6653" w:rsidP="004B6653">
      <w:pPr>
        <w:spacing w:after="150" w:line="192" w:lineRule="auto"/>
        <w:jc w:val="both"/>
        <w:rPr>
          <w:rFonts w:ascii="Comic Sans MS" w:eastAsia="Times New Roman" w:hAnsi="Comic Sans MS" w:cs="Open Sans"/>
          <w:b/>
          <w:bCs/>
          <w:vanish/>
          <w:color w:val="555555"/>
          <w:kern w:val="36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b/>
          <w:bCs/>
          <w:vanish/>
          <w:color w:val="555555"/>
          <w:kern w:val="36"/>
          <w:sz w:val="32"/>
          <w:szCs w:val="32"/>
          <w:lang w:eastAsia="es-ES"/>
        </w:rPr>
        <w:t xml:space="preserve">Comentar esta noticia </w:t>
      </w:r>
      <w:r w:rsidRPr="004B6653">
        <w:rPr>
          <w:rFonts w:ascii="Comic Sans MS" w:eastAsia="Times New Roman" w:hAnsi="Comic Sans MS" w:cs="Open Sans"/>
          <w:vanish/>
          <w:color w:val="555555"/>
          <w:kern w:val="36"/>
          <w:sz w:val="32"/>
          <w:szCs w:val="32"/>
          <w:lang w:eastAsia="es-ES"/>
        </w:rPr>
        <w:t>Accede para comentar como usuario</w:t>
      </w:r>
      <w:r w:rsidRPr="004B6653">
        <w:rPr>
          <w:rFonts w:ascii="Comic Sans MS" w:eastAsia="Times New Roman" w:hAnsi="Comic Sans MS" w:cs="Open Sans"/>
          <w:b/>
          <w:bCs/>
          <w:vanish/>
          <w:color w:val="555555"/>
          <w:kern w:val="36"/>
          <w:sz w:val="32"/>
          <w:szCs w:val="32"/>
          <w:lang w:eastAsia="es-ES"/>
        </w:rPr>
        <w:t xml:space="preserve"> </w:t>
      </w:r>
    </w:p>
    <w:p w:rsidR="004B6653" w:rsidRPr="004B6653" w:rsidRDefault="004B6653" w:rsidP="004B6653">
      <w:pPr>
        <w:pBdr>
          <w:bottom w:val="single" w:sz="6" w:space="1" w:color="auto"/>
        </w:pBdr>
        <w:spacing w:after="0" w:line="240" w:lineRule="auto"/>
        <w:jc w:val="both"/>
        <w:rPr>
          <w:rFonts w:ascii="Comic Sans MS" w:eastAsia="Times New Roman" w:hAnsi="Comic Sans MS" w:cs="Arial"/>
          <w:vanish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Arial"/>
          <w:vanish/>
          <w:sz w:val="32"/>
          <w:szCs w:val="32"/>
          <w:lang w:eastAsia="es-ES"/>
        </w:rPr>
        <w:t>Principio del formulario</w:t>
      </w:r>
    </w:p>
    <w:p w:rsidR="004B6653" w:rsidRPr="004B6653" w:rsidRDefault="004B6653" w:rsidP="004B6653">
      <w:pPr>
        <w:shd w:val="clear" w:color="auto" w:fill="F5F5F5"/>
        <w:spacing w:line="192" w:lineRule="auto"/>
        <w:jc w:val="both"/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2.1pt;height:18.25pt" o:ole="">
            <v:imagedata r:id="rId6" o:title=""/>
          </v:shape>
          <w:control r:id="rId7" w:name="DefaultOcxName" w:shapeid="_x0000_i1045"/>
        </w:object>
      </w:r>
    </w:p>
    <w:p w:rsidR="004B6653" w:rsidRPr="004B6653" w:rsidRDefault="004B6653" w:rsidP="004B6653">
      <w:pPr>
        <w:shd w:val="clear" w:color="auto" w:fill="F5F5F5"/>
        <w:spacing w:line="192" w:lineRule="auto"/>
        <w:jc w:val="both"/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</w:rPr>
        <w:object w:dxaOrig="1440" w:dyaOrig="1440">
          <v:shape id="_x0000_i1049" type="#_x0000_t75" style="width:42.1pt;height:18.25pt" o:ole="">
            <v:imagedata r:id="rId6" o:title=""/>
          </v:shape>
          <w:control r:id="rId8" w:name="DefaultOcxName1" w:shapeid="_x0000_i1049"/>
        </w:object>
      </w:r>
    </w:p>
    <w:p w:rsidR="004B6653" w:rsidRPr="004B6653" w:rsidRDefault="004B6653" w:rsidP="004B6653">
      <w:pPr>
        <w:shd w:val="clear" w:color="auto" w:fill="F5F5F5"/>
        <w:spacing w:line="192" w:lineRule="auto"/>
        <w:jc w:val="both"/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</w:rPr>
        <w:object w:dxaOrig="1440" w:dyaOrig="1440">
          <v:shape id="_x0000_i1053" type="#_x0000_t75" style="width:136.5pt;height:71.05pt" o:ole="">
            <v:imagedata r:id="rId9" o:title=""/>
          </v:shape>
          <w:control r:id="rId10" w:name="DefaultOcxName2" w:shapeid="_x0000_i1053"/>
        </w:object>
      </w:r>
    </w:p>
    <w:p w:rsidR="004B6653" w:rsidRPr="004B6653" w:rsidRDefault="004B6653" w:rsidP="004B6653">
      <w:pPr>
        <w:shd w:val="clear" w:color="auto" w:fill="F5F5F5"/>
        <w:spacing w:after="0" w:line="192" w:lineRule="auto"/>
        <w:jc w:val="both"/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</w:rPr>
        <w:object w:dxaOrig="1440" w:dyaOrig="1440">
          <v:shape id="_x0000_i1055" type="#_x0000_t75" style="width:20.1pt;height:18.25pt" o:ole="">
            <v:imagedata r:id="rId11" o:title=""/>
          </v:shape>
          <w:control r:id="rId12" w:name="DefaultOcxName3" w:shapeid="_x0000_i1055"/>
        </w:object>
      </w:r>
      <w:hyperlink r:id="rId13" w:history="1">
        <w:r w:rsidRPr="004B6653">
          <w:rPr>
            <w:rFonts w:ascii="Comic Sans MS" w:eastAsia="Times New Roman" w:hAnsi="Comic Sans MS" w:cs="Open Sans"/>
            <w:vanish/>
            <w:color w:val="2F2F2F"/>
            <w:sz w:val="32"/>
            <w:szCs w:val="32"/>
            <w:u w:val="single"/>
            <w:lang w:eastAsia="es-ES"/>
          </w:rPr>
          <w:t>Acepto los terminos de uso</w:t>
        </w:r>
      </w:hyperlink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  <w:t xml:space="preserve"> </w:t>
      </w:r>
    </w:p>
    <w:p w:rsidR="004B6653" w:rsidRPr="004B6653" w:rsidRDefault="004B6653" w:rsidP="004B6653">
      <w:pPr>
        <w:shd w:val="clear" w:color="auto" w:fill="F5F5F5"/>
        <w:spacing w:after="0" w:line="192" w:lineRule="auto"/>
        <w:jc w:val="both"/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</w:rPr>
        <w:object w:dxaOrig="1440" w:dyaOrig="1440">
          <v:shape id="_x0000_i1058" type="#_x0000_t75" style="width:20.1pt;height:18.25pt" o:ole="">
            <v:imagedata r:id="rId11" o:title=""/>
          </v:shape>
          <w:control r:id="rId14" w:name="DefaultOcxName4" w:shapeid="_x0000_i1058"/>
        </w:object>
      </w:r>
      <w:hyperlink r:id="rId15" w:history="1">
        <w:r w:rsidRPr="004B6653">
          <w:rPr>
            <w:rFonts w:ascii="Comic Sans MS" w:eastAsia="Times New Roman" w:hAnsi="Comic Sans MS" w:cs="Open Sans"/>
            <w:vanish/>
            <w:color w:val="2F2F2F"/>
            <w:sz w:val="32"/>
            <w:szCs w:val="32"/>
            <w:u w:val="single"/>
            <w:lang w:eastAsia="es-ES"/>
          </w:rPr>
          <w:t>Acepto la política de privacidad</w:t>
        </w:r>
      </w:hyperlink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  <w:t xml:space="preserve"> </w:t>
      </w:r>
    </w:p>
    <w:p w:rsidR="004B6653" w:rsidRPr="004B6653" w:rsidRDefault="004B6653" w:rsidP="004B6653">
      <w:pPr>
        <w:shd w:val="clear" w:color="auto" w:fill="F5F5F5"/>
        <w:spacing w:after="0" w:line="192" w:lineRule="auto"/>
        <w:jc w:val="both"/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</w:rPr>
        <w:object w:dxaOrig="1440" w:dyaOrig="1440">
          <v:shape id="_x0000_i1062" type="#_x0000_t75" style="width:136.5pt;height:60.8pt" o:ole="">
            <v:imagedata r:id="rId16" o:title=""/>
          </v:shape>
          <w:control r:id="rId17" w:name="DefaultOcxName5" w:shapeid="_x0000_i1062"/>
        </w:object>
      </w:r>
    </w:p>
    <w:p w:rsidR="004B6653" w:rsidRPr="004B6653" w:rsidRDefault="004B6653" w:rsidP="004B6653">
      <w:pPr>
        <w:shd w:val="clear" w:color="auto" w:fill="F5F5F5"/>
        <w:spacing w:line="192" w:lineRule="auto"/>
        <w:jc w:val="both"/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</w:rPr>
        <w:object w:dxaOrig="1440" w:dyaOrig="1440">
          <v:shape id="_x0000_i1064" type="#_x0000_t75" style="width:1in;height:18.25pt" o:ole="">
            <v:imagedata r:id="rId18" o:title=""/>
          </v:shape>
          <w:control r:id="rId19" w:name="DefaultOcxName6" w:shapeid="_x0000_i1064"/>
        </w:object>
      </w:r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</w:rPr>
        <w:object w:dxaOrig="1440" w:dyaOrig="1440">
          <v:shape id="_x0000_i1067" type="#_x0000_t75" style="width:1in;height:18.25pt" o:ole="">
            <v:imagedata r:id="rId20" o:title=""/>
          </v:shape>
          <w:control r:id="rId21" w:name="DefaultOcxName7" w:shapeid="_x0000_i1067"/>
        </w:object>
      </w:r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</w:rPr>
        <w:object w:dxaOrig="1440" w:dyaOrig="1440">
          <v:shape id="_x0000_i1070" type="#_x0000_t75" style="width:1in;height:18.25pt" o:ole="">
            <v:imagedata r:id="rId22" o:title=""/>
          </v:shape>
          <w:control r:id="rId23" w:name="DefaultOcxName8" w:shapeid="_x0000_i1070"/>
        </w:object>
      </w:r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  <w:t xml:space="preserve">Enviar </w:t>
      </w:r>
    </w:p>
    <w:p w:rsidR="004B6653" w:rsidRPr="004B6653" w:rsidRDefault="004B6653" w:rsidP="004B6653">
      <w:pPr>
        <w:pBdr>
          <w:top w:val="single" w:sz="6" w:space="1" w:color="auto"/>
        </w:pBdr>
        <w:spacing w:after="0" w:line="240" w:lineRule="auto"/>
        <w:jc w:val="both"/>
        <w:rPr>
          <w:rFonts w:ascii="Comic Sans MS" w:eastAsia="Times New Roman" w:hAnsi="Comic Sans MS" w:cs="Arial"/>
          <w:vanish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Arial"/>
          <w:vanish/>
          <w:sz w:val="32"/>
          <w:szCs w:val="32"/>
          <w:lang w:eastAsia="es-ES"/>
        </w:rPr>
        <w:t>Final del formulario</w:t>
      </w:r>
    </w:p>
    <w:p w:rsidR="004B6653" w:rsidRPr="004B6653" w:rsidRDefault="004B6653" w:rsidP="004B6653">
      <w:pPr>
        <w:shd w:val="clear" w:color="auto" w:fill="F5F5F5"/>
        <w:spacing w:before="375" w:after="150" w:line="240" w:lineRule="auto"/>
        <w:jc w:val="both"/>
        <w:outlineLvl w:val="3"/>
        <w:rPr>
          <w:rFonts w:ascii="Comic Sans MS" w:eastAsia="Times New Roman" w:hAnsi="Comic Sans MS" w:cs="Open Sans"/>
          <w:b/>
          <w:bCs/>
          <w:vanish/>
          <w:color w:val="666666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b/>
          <w:bCs/>
          <w:vanish/>
          <w:color w:val="666666"/>
          <w:sz w:val="32"/>
          <w:szCs w:val="32"/>
          <w:lang w:eastAsia="es-ES"/>
        </w:rPr>
        <w:t>Normas de participación</w:t>
      </w:r>
    </w:p>
    <w:p w:rsidR="004B6653" w:rsidRPr="004B6653" w:rsidRDefault="004B6653" w:rsidP="004B6653">
      <w:pPr>
        <w:shd w:val="clear" w:color="auto" w:fill="F5F5F5"/>
        <w:spacing w:after="150" w:line="192" w:lineRule="auto"/>
        <w:jc w:val="both"/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  <w:t>Esta es la opinión de los lectores, no la de este medio.</w:t>
      </w:r>
    </w:p>
    <w:p w:rsidR="004B6653" w:rsidRPr="004B6653" w:rsidRDefault="004B6653" w:rsidP="004B6653">
      <w:pPr>
        <w:shd w:val="clear" w:color="auto" w:fill="F5F5F5"/>
        <w:spacing w:after="150" w:line="192" w:lineRule="auto"/>
        <w:jc w:val="both"/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  <w:t>Nos reservamos el derecho a eliminar los comentarios inapropiados.</w:t>
      </w:r>
    </w:p>
    <w:p w:rsidR="004B6653" w:rsidRPr="004B6653" w:rsidRDefault="004B6653" w:rsidP="004B6653">
      <w:pPr>
        <w:shd w:val="clear" w:color="auto" w:fill="F5F5F5"/>
        <w:spacing w:after="150" w:line="192" w:lineRule="auto"/>
        <w:jc w:val="both"/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  <w:t>La participación implica que ha leído y acepta las Normas de Participación y Política de Privacidad</w:t>
      </w:r>
    </w:p>
    <w:p w:rsidR="004B6653" w:rsidRPr="004B6653" w:rsidRDefault="005B3A2A" w:rsidP="004B6653">
      <w:pPr>
        <w:shd w:val="clear" w:color="auto" w:fill="F5F5F5"/>
        <w:spacing w:after="150" w:line="192" w:lineRule="auto"/>
        <w:jc w:val="both"/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</w:pPr>
      <w:hyperlink r:id="rId24" w:history="1">
        <w:r w:rsidR="004B6653" w:rsidRPr="004B6653">
          <w:rPr>
            <w:rFonts w:ascii="Comic Sans MS" w:eastAsia="Times New Roman" w:hAnsi="Comic Sans MS" w:cs="Times New Roman"/>
            <w:vanish/>
            <w:color w:val="2F2F2F"/>
            <w:sz w:val="32"/>
            <w:szCs w:val="32"/>
            <w:lang w:eastAsia="es-ES"/>
          </w:rPr>
          <w:t>Normas de Participación</w:t>
        </w:r>
      </w:hyperlink>
    </w:p>
    <w:p w:rsidR="004B6653" w:rsidRPr="004B6653" w:rsidRDefault="005B3A2A" w:rsidP="004B6653">
      <w:pPr>
        <w:shd w:val="clear" w:color="auto" w:fill="F5F5F5"/>
        <w:spacing w:after="150" w:line="192" w:lineRule="auto"/>
        <w:jc w:val="both"/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</w:pPr>
      <w:hyperlink r:id="rId25" w:history="1">
        <w:r w:rsidR="004B6653" w:rsidRPr="004B6653">
          <w:rPr>
            <w:rFonts w:ascii="Comic Sans MS" w:eastAsia="Times New Roman" w:hAnsi="Comic Sans MS" w:cs="Times New Roman"/>
            <w:vanish/>
            <w:color w:val="2F2F2F"/>
            <w:sz w:val="32"/>
            <w:szCs w:val="32"/>
            <w:lang w:eastAsia="es-ES"/>
          </w:rPr>
          <w:t>Política de privacidad</w:t>
        </w:r>
      </w:hyperlink>
    </w:p>
    <w:p w:rsidR="004B6653" w:rsidRPr="004B6653" w:rsidRDefault="004B6653" w:rsidP="004B6653">
      <w:pPr>
        <w:shd w:val="clear" w:color="auto" w:fill="F5F5F5"/>
        <w:spacing w:after="150" w:line="192" w:lineRule="auto"/>
        <w:jc w:val="both"/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</w:pPr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  <w:t>Por seguridad guardamos tu IP</w:t>
      </w:r>
      <w:r w:rsidRPr="004B6653">
        <w:rPr>
          <w:rFonts w:ascii="Comic Sans MS" w:eastAsia="Times New Roman" w:hAnsi="Comic Sans MS" w:cs="Open Sans"/>
          <w:vanish/>
          <w:color w:val="2F2F2F"/>
          <w:sz w:val="32"/>
          <w:szCs w:val="32"/>
          <w:lang w:eastAsia="es-ES"/>
        </w:rPr>
        <w:br/>
        <w:t>141.101.69.135</w:t>
      </w:r>
    </w:p>
    <w:sectPr w:rsidR="004B6653" w:rsidRPr="004B6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53"/>
    <w:rsid w:val="004B6653"/>
    <w:rsid w:val="005B3A2A"/>
    <w:rsid w:val="009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09C48EF8-82F9-40ED-9330-0773B727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91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945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CECECE"/>
                            <w:left w:val="none" w:sz="0" w:space="0" w:color="auto"/>
                            <w:bottom w:val="single" w:sz="6" w:space="4" w:color="CECECE"/>
                            <w:right w:val="none" w:sz="0" w:space="0" w:color="auto"/>
                          </w:divBdr>
                        </w:div>
                        <w:div w:id="19860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auto"/>
                            <w:bottom w:val="single" w:sz="6" w:space="4" w:color="auto"/>
                            <w:right w:val="single" w:sz="6" w:space="15" w:color="auto"/>
                          </w:divBdr>
                          <w:divsChild>
                            <w:div w:id="7268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26549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75484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53882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7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25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6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76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4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0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48691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84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5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4" w:color="DDE1E5"/>
                <w:right w:val="none" w:sz="0" w:space="0" w:color="auto"/>
              </w:divBdr>
            </w:div>
            <w:div w:id="1215045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5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8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4" w:color="DDE1E5"/>
                <w:right w:val="none" w:sz="0" w:space="0" w:color="auto"/>
              </w:divBdr>
            </w:div>
            <w:div w:id="1182400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5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026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60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2376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murciaeconomia.com/pag/terms" TargetMode="Externa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hyperlink" Target="https://murciaeconomia.com/pag/lop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hyperlink" Target="https://murciaeconomia.com/pag/terms" TargetMode="External"/><Relationship Id="rId5" Type="http://schemas.openxmlformats.org/officeDocument/2006/relationships/hyperlink" Target="https://diariolaley.laleynext.es/content/Documento.aspx?params=H4sIAAAAAAAEAMtMSbH1CjUwMDAzNjIyMDFWK0stKs7Mz7Mty0xPzStJBfEz0ypd8pNDKgtSbdMSc4pT1RKTivNzSktSQ4sybUOKSlMB4wZ30EUAAAA=WKE" TargetMode="External"/><Relationship Id="rId15" Type="http://schemas.openxmlformats.org/officeDocument/2006/relationships/hyperlink" Target="https://murciaeconomia.com/pag/lopd" TargetMode="External"/><Relationship Id="rId23" Type="http://schemas.openxmlformats.org/officeDocument/2006/relationships/control" Target="activeX/activeX9.xml"/><Relationship Id="rId10" Type="http://schemas.openxmlformats.org/officeDocument/2006/relationships/control" Target="activeX/activeX3.xml"/><Relationship Id="rId19" Type="http://schemas.openxmlformats.org/officeDocument/2006/relationships/control" Target="activeX/activeX7.xml"/><Relationship Id="rId4" Type="http://schemas.openxmlformats.org/officeDocument/2006/relationships/image" Target="media/image1.jpeg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2</cp:revision>
  <dcterms:created xsi:type="dcterms:W3CDTF">2019-11-23T09:25:00Z</dcterms:created>
  <dcterms:modified xsi:type="dcterms:W3CDTF">2019-11-25T12:17:00Z</dcterms:modified>
</cp:coreProperties>
</file>