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BB1" w:rsidRPr="00617BB1" w:rsidRDefault="00617BB1" w:rsidP="00617BB1">
      <w:pPr>
        <w:spacing w:after="200" w:line="240" w:lineRule="auto"/>
        <w:jc w:val="center"/>
        <w:rPr>
          <w:rFonts w:ascii="Arial" w:eastAsia="Times New Roman" w:hAnsi="Arial" w:cs="Arial"/>
          <w:color w:val="000000"/>
          <w:sz w:val="20"/>
          <w:szCs w:val="20"/>
          <w:u w:val="single"/>
          <w:lang w:eastAsia="es-ES"/>
        </w:rPr>
      </w:pPr>
      <w:r w:rsidRPr="00617BB1">
        <w:rPr>
          <w:rFonts w:ascii="Arial" w:eastAsia="Times New Roman" w:hAnsi="Arial" w:cs="Arial"/>
          <w:b/>
          <w:bCs/>
          <w:color w:val="FF0000"/>
          <w:sz w:val="36"/>
          <w:szCs w:val="36"/>
          <w:u w:val="single"/>
          <w:lang w:eastAsia="es-ES"/>
        </w:rPr>
        <w:t>INCAPACIDAD TEMPORAL (</w:t>
      </w:r>
      <w:proofErr w:type="spellStart"/>
      <w:r w:rsidRPr="00617BB1">
        <w:rPr>
          <w:rFonts w:ascii="Arial" w:eastAsia="Times New Roman" w:hAnsi="Arial" w:cs="Arial"/>
          <w:b/>
          <w:bCs/>
          <w:color w:val="FF0000"/>
          <w:sz w:val="36"/>
          <w:szCs w:val="36"/>
          <w:u w:val="single"/>
          <w:lang w:eastAsia="es-ES"/>
        </w:rPr>
        <w:t>I.T</w:t>
      </w:r>
      <w:proofErr w:type="spellEnd"/>
      <w:r w:rsidRPr="00617BB1">
        <w:rPr>
          <w:rFonts w:ascii="Arial" w:eastAsia="Times New Roman" w:hAnsi="Arial" w:cs="Arial"/>
          <w:b/>
          <w:bCs/>
          <w:color w:val="FF0000"/>
          <w:sz w:val="36"/>
          <w:szCs w:val="36"/>
          <w:u w:val="single"/>
          <w:lang w:eastAsia="es-ES"/>
        </w:rPr>
        <w:t>.). RECAÍDA Y RECIDIVA</w:t>
      </w:r>
    </w:p>
    <w:p w:rsidR="00617BB1" w:rsidRDefault="00617BB1" w:rsidP="00617BB1">
      <w:pPr>
        <w:spacing w:after="100" w:line="240" w:lineRule="auto"/>
        <w:jc w:val="both"/>
        <w:rPr>
          <w:rFonts w:ascii="Arial" w:eastAsia="Times New Roman" w:hAnsi="Arial" w:cs="Arial"/>
          <w:color w:val="000000"/>
          <w:sz w:val="20"/>
          <w:szCs w:val="20"/>
          <w:lang w:eastAsia="es-ES"/>
        </w:rPr>
      </w:pPr>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En la </w:t>
      </w:r>
      <w:proofErr w:type="spellStart"/>
      <w:r w:rsidRPr="00617BB1">
        <w:rPr>
          <w:rFonts w:ascii="Arial" w:eastAsia="Times New Roman" w:hAnsi="Arial" w:cs="Arial"/>
          <w:color w:val="000000"/>
          <w:sz w:val="24"/>
          <w:szCs w:val="24"/>
          <w:lang w:eastAsia="es-ES"/>
        </w:rPr>
        <w:t>LGSS</w:t>
      </w:r>
      <w:proofErr w:type="spellEnd"/>
      <w:r w:rsidRPr="00617BB1">
        <w:rPr>
          <w:rFonts w:ascii="Arial" w:eastAsia="Times New Roman" w:hAnsi="Arial" w:cs="Arial"/>
          <w:color w:val="000000"/>
          <w:sz w:val="24"/>
          <w:szCs w:val="24"/>
          <w:lang w:eastAsia="es-ES"/>
        </w:rPr>
        <w:t xml:space="preserve">, </w:t>
      </w:r>
      <w:r w:rsidRPr="00617BB1">
        <w:rPr>
          <w:rFonts w:ascii="Arial" w:eastAsia="Times New Roman" w:hAnsi="Arial" w:cs="Arial"/>
          <w:color w:val="000000"/>
          <w:sz w:val="24"/>
          <w:szCs w:val="24"/>
          <w:u w:val="single"/>
          <w:lang w:eastAsia="es-ES"/>
        </w:rPr>
        <w:t xml:space="preserve">art. </w:t>
      </w:r>
      <w:proofErr w:type="spellStart"/>
      <w:r w:rsidRPr="00617BB1">
        <w:rPr>
          <w:rFonts w:ascii="Arial" w:eastAsia="Times New Roman" w:hAnsi="Arial" w:cs="Arial"/>
          <w:color w:val="000000"/>
          <w:sz w:val="24"/>
          <w:szCs w:val="24"/>
          <w:u w:val="single"/>
          <w:lang w:eastAsia="es-ES"/>
        </w:rPr>
        <w:t>169.1.a</w:t>
      </w:r>
      <w:proofErr w:type="spellEnd"/>
      <w:r w:rsidRPr="00617BB1">
        <w:rPr>
          <w:rFonts w:ascii="Arial" w:eastAsia="Times New Roman" w:hAnsi="Arial" w:cs="Arial"/>
          <w:color w:val="000000"/>
          <w:sz w:val="24"/>
          <w:szCs w:val="24"/>
          <w:u w:val="single"/>
          <w:lang w:eastAsia="es-ES"/>
        </w:rPr>
        <w:t>)</w:t>
      </w:r>
      <w:r w:rsidRPr="00617BB1">
        <w:rPr>
          <w:rFonts w:ascii="Arial" w:eastAsia="Times New Roman" w:hAnsi="Arial" w:cs="Arial"/>
          <w:color w:val="000000"/>
          <w:sz w:val="24"/>
          <w:szCs w:val="24"/>
          <w:lang w:eastAsia="es-ES"/>
        </w:rPr>
        <w:t xml:space="preserve">, se establece que la duración máxima de la prestación de Incapacidad Temporal -IT- es de </w:t>
      </w:r>
      <w:r w:rsidRPr="00617BB1">
        <w:rPr>
          <w:rFonts w:ascii="Arial" w:eastAsia="Times New Roman" w:hAnsi="Arial" w:cs="Arial"/>
          <w:color w:val="000000"/>
          <w:sz w:val="24"/>
          <w:szCs w:val="24"/>
          <w:u w:val="single"/>
          <w:lang w:eastAsia="es-ES"/>
        </w:rPr>
        <w:t>365 días</w:t>
      </w:r>
      <w:r w:rsidRPr="00617BB1">
        <w:rPr>
          <w:rFonts w:ascii="Arial" w:eastAsia="Times New Roman" w:hAnsi="Arial" w:cs="Arial"/>
          <w:color w:val="000000"/>
          <w:sz w:val="24"/>
          <w:szCs w:val="24"/>
          <w:lang w:eastAsia="es-ES"/>
        </w:rPr>
        <w:t xml:space="preserve">, prorrogables por otros </w:t>
      </w:r>
      <w:r w:rsidRPr="00617BB1">
        <w:rPr>
          <w:rFonts w:ascii="Arial" w:eastAsia="Times New Roman" w:hAnsi="Arial" w:cs="Arial"/>
          <w:color w:val="000000"/>
          <w:sz w:val="24"/>
          <w:szCs w:val="24"/>
          <w:u w:val="single"/>
          <w:lang w:eastAsia="es-ES"/>
        </w:rPr>
        <w:t>180 días</w:t>
      </w:r>
      <w:r w:rsidRPr="00617BB1">
        <w:rPr>
          <w:rFonts w:ascii="Arial" w:eastAsia="Times New Roman" w:hAnsi="Arial" w:cs="Arial"/>
          <w:color w:val="000000"/>
          <w:sz w:val="24"/>
          <w:szCs w:val="24"/>
          <w:lang w:eastAsia="es-ES"/>
        </w:rPr>
        <w:t xml:space="preserve"> si se presume que en ese período el trabajador puede ser dado de alta médica por curación. También, en dicho artículo se establece que, si el </w:t>
      </w:r>
      <w:proofErr w:type="spellStart"/>
      <w:r w:rsidRPr="00617BB1">
        <w:rPr>
          <w:rFonts w:ascii="Arial" w:eastAsia="Times New Roman" w:hAnsi="Arial" w:cs="Arial"/>
          <w:color w:val="000000"/>
          <w:sz w:val="24"/>
          <w:szCs w:val="24"/>
          <w:lang w:eastAsia="es-ES"/>
        </w:rPr>
        <w:t>INSS</w:t>
      </w:r>
      <w:proofErr w:type="spellEnd"/>
      <w:r w:rsidRPr="00617BB1">
        <w:rPr>
          <w:rFonts w:ascii="Arial" w:eastAsia="Times New Roman" w:hAnsi="Arial" w:cs="Arial"/>
          <w:color w:val="000000"/>
          <w:sz w:val="24"/>
          <w:szCs w:val="24"/>
          <w:lang w:eastAsia="es-ES"/>
        </w:rPr>
        <w:t xml:space="preserve"> ha expedido el alta médica por agotamiento del plazo máximo y por curación, es el propio </w:t>
      </w:r>
      <w:proofErr w:type="spellStart"/>
      <w:r w:rsidRPr="00617BB1">
        <w:rPr>
          <w:rFonts w:ascii="Arial" w:eastAsia="Times New Roman" w:hAnsi="Arial" w:cs="Arial"/>
          <w:color w:val="000000"/>
          <w:sz w:val="24"/>
          <w:szCs w:val="24"/>
          <w:lang w:eastAsia="es-ES"/>
        </w:rPr>
        <w:t>INSS</w:t>
      </w:r>
      <w:proofErr w:type="spellEnd"/>
      <w:r w:rsidRPr="00617BB1">
        <w:rPr>
          <w:rFonts w:ascii="Arial" w:eastAsia="Times New Roman" w:hAnsi="Arial" w:cs="Arial"/>
          <w:color w:val="000000"/>
          <w:sz w:val="24"/>
          <w:szCs w:val="24"/>
          <w:lang w:eastAsia="es-ES"/>
        </w:rPr>
        <w:t xml:space="preserve"> el único competente para expedir una nueva baja médica dentro de los 180 días siguientes a la anterior alta médica cuando sea por misma o similar patología (</w:t>
      </w:r>
      <w:r w:rsidRPr="00617BB1">
        <w:rPr>
          <w:rFonts w:ascii="Arial" w:eastAsia="Times New Roman" w:hAnsi="Arial" w:cs="Arial"/>
          <w:color w:val="000000"/>
          <w:sz w:val="24"/>
          <w:szCs w:val="24"/>
          <w:u w:val="single"/>
          <w:lang w:eastAsia="es-ES"/>
        </w:rPr>
        <w:t>recidiva</w:t>
      </w:r>
      <w:r w:rsidRPr="00617BB1">
        <w:rPr>
          <w:rFonts w:ascii="Arial" w:eastAsia="Times New Roman" w:hAnsi="Arial" w:cs="Arial"/>
          <w:color w:val="000000"/>
          <w:sz w:val="24"/>
          <w:szCs w:val="24"/>
          <w:lang w:eastAsia="es-ES"/>
        </w:rPr>
        <w:t>)</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u w:val="single"/>
          <w:lang w:eastAsia="es-ES"/>
        </w:rPr>
        <w:t xml:space="preserve">Ley General de la Seguridad Social </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u w:val="single"/>
          <w:lang w:eastAsia="es-ES"/>
        </w:rPr>
        <w:t>Artículo 169. Concepto de Incapacidad temporal</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1. Tendrán la consideración de </w:t>
      </w:r>
      <w:r w:rsidRPr="00617BB1">
        <w:rPr>
          <w:rFonts w:ascii="Arial" w:eastAsia="Times New Roman" w:hAnsi="Arial" w:cs="Arial"/>
          <w:i/>
          <w:iCs/>
          <w:color w:val="000000"/>
          <w:sz w:val="24"/>
          <w:szCs w:val="24"/>
          <w:u w:val="single"/>
          <w:lang w:eastAsia="es-ES"/>
        </w:rPr>
        <w:t xml:space="preserve">situaciones determinantes de </w:t>
      </w:r>
      <w:proofErr w:type="spellStart"/>
      <w:r w:rsidRPr="00617BB1">
        <w:rPr>
          <w:rFonts w:ascii="Arial" w:eastAsia="Times New Roman" w:hAnsi="Arial" w:cs="Arial"/>
          <w:i/>
          <w:iCs/>
          <w:color w:val="000000"/>
          <w:sz w:val="24"/>
          <w:szCs w:val="24"/>
          <w:u w:val="single"/>
          <w:lang w:eastAsia="es-ES"/>
        </w:rPr>
        <w:t>I.T</w:t>
      </w:r>
      <w:proofErr w:type="spellEnd"/>
      <w:r w:rsidRPr="00617BB1">
        <w:rPr>
          <w:rFonts w:ascii="Arial" w:eastAsia="Times New Roman" w:hAnsi="Arial" w:cs="Arial"/>
          <w:i/>
          <w:iCs/>
          <w:color w:val="000000"/>
          <w:sz w:val="24"/>
          <w:szCs w:val="24"/>
          <w:u w:val="single"/>
          <w:lang w:eastAsia="es-ES"/>
        </w:rPr>
        <w:t>.</w:t>
      </w:r>
      <w:r w:rsidRPr="00617BB1">
        <w:rPr>
          <w:rFonts w:ascii="Arial" w:eastAsia="Times New Roman" w:hAnsi="Arial" w:cs="Arial"/>
          <w:i/>
          <w:iCs/>
          <w:color w:val="000000"/>
          <w:sz w:val="24"/>
          <w:szCs w:val="24"/>
          <w:lang w:eastAsia="es-ES"/>
        </w:rPr>
        <w:t>:</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a) Las debidas a enfermedad común o profesional y a accidente, sea o no de trabajo, mientras el trabajador reciba asistencia sanitaria de la Seguridad Social y esté impedido para el trabajo, con una </w:t>
      </w:r>
      <w:r w:rsidRPr="00617BB1">
        <w:rPr>
          <w:rFonts w:ascii="Arial" w:eastAsia="Times New Roman" w:hAnsi="Arial" w:cs="Arial"/>
          <w:color w:val="000000"/>
          <w:sz w:val="24"/>
          <w:szCs w:val="24"/>
          <w:lang w:eastAsia="es-ES"/>
        </w:rPr>
        <w:t>duración máxima de 365 días</w:t>
      </w:r>
      <w:r w:rsidRPr="00617BB1">
        <w:rPr>
          <w:rFonts w:ascii="Arial" w:eastAsia="Times New Roman" w:hAnsi="Arial" w:cs="Arial"/>
          <w:i/>
          <w:iCs/>
          <w:color w:val="000000"/>
          <w:sz w:val="24"/>
          <w:szCs w:val="24"/>
          <w:lang w:eastAsia="es-ES"/>
        </w:rPr>
        <w:t xml:space="preserve">, </w:t>
      </w:r>
      <w:r w:rsidRPr="00617BB1">
        <w:rPr>
          <w:rFonts w:ascii="Arial" w:eastAsia="Times New Roman" w:hAnsi="Arial" w:cs="Arial"/>
          <w:i/>
          <w:iCs/>
          <w:color w:val="000000"/>
          <w:sz w:val="24"/>
          <w:szCs w:val="24"/>
          <w:u w:val="single"/>
          <w:lang w:eastAsia="es-ES"/>
        </w:rPr>
        <w:t>prorrogables por otros 180</w:t>
      </w:r>
      <w:r w:rsidRPr="00617BB1">
        <w:rPr>
          <w:rFonts w:ascii="Arial" w:eastAsia="Times New Roman" w:hAnsi="Arial" w:cs="Arial"/>
          <w:i/>
          <w:iCs/>
          <w:color w:val="000000"/>
          <w:sz w:val="24"/>
          <w:szCs w:val="24"/>
          <w:lang w:eastAsia="es-ES"/>
        </w:rPr>
        <w:t xml:space="preserve"> cuando se presuma que durante ellos puede el trabajador ser dado de alta médica por curación.</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b) Los períodos de observación por enfermedad profesional en los que se prescriba la baja en el trabajo durante los mismos, con una </w:t>
      </w:r>
      <w:r w:rsidRPr="00617BB1">
        <w:rPr>
          <w:rFonts w:ascii="Arial" w:eastAsia="Times New Roman" w:hAnsi="Arial" w:cs="Arial"/>
          <w:i/>
          <w:iCs/>
          <w:color w:val="000000"/>
          <w:sz w:val="24"/>
          <w:szCs w:val="24"/>
          <w:u w:val="single"/>
          <w:lang w:eastAsia="es-ES"/>
        </w:rPr>
        <w:t>duración máxima de 6 meses</w:t>
      </w:r>
      <w:r w:rsidRPr="00617BB1">
        <w:rPr>
          <w:rFonts w:ascii="Arial" w:eastAsia="Times New Roman" w:hAnsi="Arial" w:cs="Arial"/>
          <w:i/>
          <w:iCs/>
          <w:color w:val="000000"/>
          <w:sz w:val="24"/>
          <w:szCs w:val="24"/>
          <w:lang w:eastAsia="es-ES"/>
        </w:rPr>
        <w:t xml:space="preserve">, prorrogables por </w:t>
      </w:r>
      <w:r w:rsidRPr="00617BB1">
        <w:rPr>
          <w:rFonts w:ascii="Arial" w:eastAsia="Times New Roman" w:hAnsi="Arial" w:cs="Arial"/>
          <w:i/>
          <w:iCs/>
          <w:color w:val="000000"/>
          <w:sz w:val="24"/>
          <w:szCs w:val="24"/>
          <w:u w:val="single"/>
          <w:lang w:eastAsia="es-ES"/>
        </w:rPr>
        <w:t>otros 6</w:t>
      </w:r>
      <w:r w:rsidRPr="00617BB1">
        <w:rPr>
          <w:rFonts w:ascii="Arial" w:eastAsia="Times New Roman" w:hAnsi="Arial" w:cs="Arial"/>
          <w:i/>
          <w:iCs/>
          <w:color w:val="000000"/>
          <w:sz w:val="24"/>
          <w:szCs w:val="24"/>
          <w:lang w:eastAsia="es-ES"/>
        </w:rPr>
        <w:t xml:space="preserve"> cuando se estime necesario para el estudio y diagnóstico de la enfermedad.</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2. A efectos del período máximo de duración de la situación de incapacidad temporal que se señala en la letra a) del apartado anterior, y de su posible prórroga, </w:t>
      </w:r>
      <w:r w:rsidRPr="00617BB1">
        <w:rPr>
          <w:rFonts w:ascii="Arial" w:eastAsia="Times New Roman" w:hAnsi="Arial" w:cs="Arial"/>
          <w:i/>
          <w:iCs/>
          <w:color w:val="000000"/>
          <w:sz w:val="24"/>
          <w:szCs w:val="24"/>
          <w:u w:val="single"/>
          <w:lang w:eastAsia="es-ES"/>
        </w:rPr>
        <w:t>se computarán los períodos de recaída y de observación</w:t>
      </w:r>
      <w:r w:rsidRPr="00617BB1">
        <w:rPr>
          <w:rFonts w:ascii="Arial" w:eastAsia="Times New Roman" w:hAnsi="Arial" w:cs="Arial"/>
          <w:i/>
          <w:iCs/>
          <w:color w:val="000000"/>
          <w:sz w:val="24"/>
          <w:szCs w:val="24"/>
          <w:lang w:eastAsia="es-ES"/>
        </w:rPr>
        <w:t>.</w:t>
      </w:r>
    </w:p>
    <w:p w:rsidR="00617BB1" w:rsidRPr="00617BB1" w:rsidRDefault="00617BB1" w:rsidP="00617BB1">
      <w:pPr>
        <w:spacing w:after="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Se considerará que existe </w:t>
      </w:r>
      <w:r w:rsidRPr="00617BB1">
        <w:rPr>
          <w:rFonts w:ascii="Arial" w:eastAsia="Times New Roman" w:hAnsi="Arial" w:cs="Arial"/>
          <w:i/>
          <w:iCs/>
          <w:color w:val="000000"/>
          <w:sz w:val="24"/>
          <w:szCs w:val="24"/>
          <w:u w:val="single"/>
          <w:lang w:eastAsia="es-ES"/>
        </w:rPr>
        <w:t>recaída</w:t>
      </w:r>
      <w:r w:rsidRPr="00617BB1">
        <w:rPr>
          <w:rFonts w:ascii="Arial" w:eastAsia="Times New Roman" w:hAnsi="Arial" w:cs="Arial"/>
          <w:i/>
          <w:iCs/>
          <w:color w:val="000000"/>
          <w:sz w:val="24"/>
          <w:szCs w:val="24"/>
          <w:lang w:eastAsia="es-ES"/>
        </w:rPr>
        <w:t xml:space="preserve"> en un mismo proceso cuando se produzca una nueva baja médica </w:t>
      </w:r>
      <w:r w:rsidRPr="00617BB1">
        <w:rPr>
          <w:rFonts w:ascii="Arial" w:eastAsia="Times New Roman" w:hAnsi="Arial" w:cs="Arial"/>
          <w:i/>
          <w:iCs/>
          <w:color w:val="000000"/>
          <w:sz w:val="24"/>
          <w:szCs w:val="24"/>
          <w:u w:val="single"/>
          <w:lang w:eastAsia="es-ES"/>
        </w:rPr>
        <w:t>por la misma o similar patología</w:t>
      </w:r>
      <w:r w:rsidRPr="00617BB1">
        <w:rPr>
          <w:rFonts w:ascii="Arial" w:eastAsia="Times New Roman" w:hAnsi="Arial" w:cs="Arial"/>
          <w:i/>
          <w:iCs/>
          <w:color w:val="000000"/>
          <w:sz w:val="24"/>
          <w:szCs w:val="24"/>
          <w:lang w:eastAsia="es-ES"/>
        </w:rPr>
        <w:t xml:space="preserve"> dentro de los 180 naturales siguientes a la fecha de efectos </w:t>
      </w:r>
      <w:proofErr w:type="gramStart"/>
      <w:r w:rsidRPr="00617BB1">
        <w:rPr>
          <w:rFonts w:ascii="Arial" w:eastAsia="Times New Roman" w:hAnsi="Arial" w:cs="Arial"/>
          <w:i/>
          <w:iCs/>
          <w:color w:val="000000"/>
          <w:sz w:val="24"/>
          <w:szCs w:val="24"/>
          <w:lang w:eastAsia="es-ES"/>
        </w:rPr>
        <w:t>del alta médica anterior</w:t>
      </w:r>
      <w:proofErr w:type="gramEnd"/>
      <w:r w:rsidRPr="00617BB1">
        <w:rPr>
          <w:rFonts w:ascii="Arial" w:eastAsia="Times New Roman" w:hAnsi="Arial" w:cs="Arial"/>
          <w:i/>
          <w:iCs/>
          <w:color w:val="000000"/>
          <w:sz w:val="24"/>
          <w:szCs w:val="24"/>
          <w:lang w:eastAsia="es-ES"/>
        </w:rPr>
        <w:t>.</w:t>
      </w:r>
    </w:p>
    <w:p w:rsidR="00617BB1" w:rsidRPr="00617BB1" w:rsidRDefault="00617BB1" w:rsidP="00617BB1">
      <w:pPr>
        <w:spacing w:before="100"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Se considera una </w:t>
      </w:r>
      <w:r w:rsidRPr="00617BB1">
        <w:rPr>
          <w:rFonts w:ascii="Arial" w:eastAsia="Times New Roman" w:hAnsi="Arial" w:cs="Arial"/>
          <w:color w:val="000000"/>
          <w:sz w:val="24"/>
          <w:szCs w:val="24"/>
          <w:u w:val="single"/>
          <w:lang w:eastAsia="es-ES"/>
        </w:rPr>
        <w:t>recaída</w:t>
      </w:r>
      <w:r w:rsidRPr="00617BB1">
        <w:rPr>
          <w:rFonts w:ascii="Arial" w:eastAsia="Times New Roman" w:hAnsi="Arial" w:cs="Arial"/>
          <w:color w:val="000000"/>
          <w:sz w:val="24"/>
          <w:szCs w:val="24"/>
          <w:lang w:eastAsia="es-ES"/>
        </w:rPr>
        <w:t xml:space="preserve"> de la anterior baja laboral (Incapacidad Temporal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si la nueva baja se produce </w:t>
      </w:r>
      <w:r w:rsidRPr="00617BB1">
        <w:rPr>
          <w:rFonts w:ascii="Arial" w:eastAsia="Times New Roman" w:hAnsi="Arial" w:cs="Arial"/>
          <w:color w:val="000000"/>
          <w:sz w:val="24"/>
          <w:szCs w:val="24"/>
          <w:u w:val="single"/>
          <w:lang w:eastAsia="es-ES"/>
        </w:rPr>
        <w:t>antes de los 180 días</w:t>
      </w:r>
      <w:r w:rsidRPr="00617BB1">
        <w:rPr>
          <w:rFonts w:ascii="Arial" w:eastAsia="Times New Roman" w:hAnsi="Arial" w:cs="Arial"/>
          <w:color w:val="000000"/>
          <w:sz w:val="24"/>
          <w:szCs w:val="24"/>
          <w:lang w:eastAsia="es-ES"/>
        </w:rPr>
        <w:t xml:space="preserve"> y sin que hubiere agotado el plazo máximo de la primera </w:t>
      </w:r>
      <w:proofErr w:type="spellStart"/>
      <w:proofErr w:type="gram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w:t>
      </w:r>
      <w:bookmarkStart w:id="0" w:name="_GoBack"/>
      <w:bookmarkEnd w:id="0"/>
      <w:proofErr w:type="gramEnd"/>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Se considera una </w:t>
      </w:r>
      <w:r w:rsidRPr="00617BB1">
        <w:rPr>
          <w:rFonts w:ascii="Arial" w:eastAsia="Times New Roman" w:hAnsi="Arial" w:cs="Arial"/>
          <w:color w:val="000000"/>
          <w:sz w:val="24"/>
          <w:szCs w:val="24"/>
          <w:u w:val="single"/>
          <w:lang w:eastAsia="es-ES"/>
        </w:rPr>
        <w:t>recidiva</w:t>
      </w:r>
      <w:r w:rsidRPr="00617BB1">
        <w:rPr>
          <w:rFonts w:ascii="Arial" w:eastAsia="Times New Roman" w:hAnsi="Arial" w:cs="Arial"/>
          <w:color w:val="000000"/>
          <w:sz w:val="24"/>
          <w:szCs w:val="24"/>
          <w:lang w:eastAsia="es-ES"/>
        </w:rPr>
        <w:t xml:space="preserve"> si el segundo proceso de baja médica tiene lugar dentro de los </w:t>
      </w:r>
      <w:r w:rsidRPr="00617BB1">
        <w:rPr>
          <w:rFonts w:ascii="Arial" w:eastAsia="Times New Roman" w:hAnsi="Arial" w:cs="Arial"/>
          <w:color w:val="000000"/>
          <w:sz w:val="24"/>
          <w:szCs w:val="24"/>
          <w:u w:val="single"/>
          <w:lang w:eastAsia="es-ES"/>
        </w:rPr>
        <w:t>180 días siguientes</w:t>
      </w:r>
      <w:r w:rsidRPr="00617BB1">
        <w:rPr>
          <w:rFonts w:ascii="Arial" w:eastAsia="Times New Roman" w:hAnsi="Arial" w:cs="Arial"/>
          <w:color w:val="000000"/>
          <w:sz w:val="24"/>
          <w:szCs w:val="24"/>
          <w:lang w:eastAsia="es-ES"/>
        </w:rPr>
        <w:t xml:space="preserve"> a la expiración del plazo máximo de </w:t>
      </w:r>
      <w:r w:rsidRPr="00617BB1">
        <w:rPr>
          <w:rFonts w:ascii="Arial" w:eastAsia="Times New Roman" w:hAnsi="Arial" w:cs="Arial"/>
          <w:color w:val="000000"/>
          <w:sz w:val="24"/>
          <w:szCs w:val="24"/>
          <w:u w:val="single"/>
          <w:lang w:eastAsia="es-ES"/>
        </w:rPr>
        <w:t>365 días</w:t>
      </w:r>
      <w:r w:rsidRPr="00617BB1">
        <w:rPr>
          <w:rFonts w:ascii="Arial" w:eastAsia="Times New Roman" w:hAnsi="Arial" w:cs="Arial"/>
          <w:color w:val="000000"/>
          <w:sz w:val="24"/>
          <w:szCs w:val="24"/>
          <w:lang w:eastAsia="es-ES"/>
        </w:rPr>
        <w:t xml:space="preserve"> de duración de la primera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w:t>
      </w:r>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Es jurisprudencia consolidada social que en la RECIDIVA resulte exigible la concurrencia general de todos los requisitos para el devengo de la prestación, requisitos referidos a la fecha de la correspondiente nueva baja, para la misma o similar patología, por imponerlo así los </w:t>
      </w:r>
      <w:r w:rsidRPr="00617BB1">
        <w:rPr>
          <w:rFonts w:ascii="Arial" w:eastAsia="Times New Roman" w:hAnsi="Arial" w:cs="Arial"/>
          <w:color w:val="000000"/>
          <w:sz w:val="24"/>
          <w:szCs w:val="24"/>
          <w:u w:val="single"/>
          <w:lang w:eastAsia="es-ES"/>
        </w:rPr>
        <w:t>artículos 169 y 173</w:t>
      </w:r>
      <w:r w:rsidRPr="00617BB1">
        <w:rPr>
          <w:rFonts w:ascii="Arial" w:eastAsia="Times New Roman" w:hAnsi="Arial" w:cs="Arial"/>
          <w:color w:val="000000"/>
          <w:sz w:val="24"/>
          <w:szCs w:val="24"/>
          <w:lang w:eastAsia="es-ES"/>
        </w:rPr>
        <w:t xml:space="preserve"> </w:t>
      </w:r>
      <w:proofErr w:type="spellStart"/>
      <w:r w:rsidRPr="00617BB1">
        <w:rPr>
          <w:rFonts w:ascii="Arial" w:eastAsia="Times New Roman" w:hAnsi="Arial" w:cs="Arial"/>
          <w:color w:val="000000"/>
          <w:sz w:val="24"/>
          <w:szCs w:val="24"/>
          <w:lang w:eastAsia="es-ES"/>
        </w:rPr>
        <w:t>LGSS</w:t>
      </w:r>
      <w:proofErr w:type="spellEnd"/>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Por ello si el primer proceso de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no ha excedido de los </w:t>
      </w:r>
      <w:r w:rsidRPr="00617BB1">
        <w:rPr>
          <w:rFonts w:ascii="Arial" w:eastAsia="Times New Roman" w:hAnsi="Arial" w:cs="Arial"/>
          <w:color w:val="000000"/>
          <w:sz w:val="24"/>
          <w:szCs w:val="24"/>
          <w:u w:val="single"/>
          <w:lang w:eastAsia="es-ES"/>
        </w:rPr>
        <w:t>365 días</w:t>
      </w:r>
      <w:r w:rsidRPr="00617BB1">
        <w:rPr>
          <w:rFonts w:ascii="Arial" w:eastAsia="Times New Roman" w:hAnsi="Arial" w:cs="Arial"/>
          <w:color w:val="000000"/>
          <w:sz w:val="24"/>
          <w:szCs w:val="24"/>
          <w:lang w:eastAsia="es-ES"/>
        </w:rPr>
        <w:t xml:space="preserve"> de duración, y sin que medie un período de actividad de </w:t>
      </w:r>
      <w:r w:rsidRPr="00617BB1">
        <w:rPr>
          <w:rFonts w:ascii="Arial" w:eastAsia="Times New Roman" w:hAnsi="Arial" w:cs="Arial"/>
          <w:color w:val="000000"/>
          <w:sz w:val="24"/>
          <w:szCs w:val="24"/>
          <w:u w:val="single"/>
          <w:lang w:eastAsia="es-ES"/>
        </w:rPr>
        <w:t>180 días</w:t>
      </w:r>
      <w:r w:rsidRPr="00617BB1">
        <w:rPr>
          <w:rFonts w:ascii="Arial" w:eastAsia="Times New Roman" w:hAnsi="Arial" w:cs="Arial"/>
          <w:color w:val="000000"/>
          <w:sz w:val="24"/>
          <w:szCs w:val="24"/>
          <w:lang w:eastAsia="es-ES"/>
        </w:rPr>
        <w:t xml:space="preserve"> tras el alta médica se produce una nueva baja médica por similar o igual patología dentro de esos </w:t>
      </w:r>
      <w:r w:rsidRPr="00617BB1">
        <w:rPr>
          <w:rFonts w:ascii="Arial" w:eastAsia="Times New Roman" w:hAnsi="Arial" w:cs="Arial"/>
          <w:color w:val="000000"/>
          <w:sz w:val="24"/>
          <w:szCs w:val="24"/>
          <w:u w:val="single"/>
          <w:lang w:eastAsia="es-ES"/>
        </w:rPr>
        <w:t>180 días</w:t>
      </w:r>
      <w:r w:rsidRPr="00617BB1">
        <w:rPr>
          <w:rFonts w:ascii="Arial" w:eastAsia="Times New Roman" w:hAnsi="Arial" w:cs="Arial"/>
          <w:color w:val="000000"/>
          <w:sz w:val="24"/>
          <w:szCs w:val="24"/>
          <w:lang w:eastAsia="es-ES"/>
        </w:rPr>
        <w:t xml:space="preserve"> siguientes, nos encontramos ante un supuesto de </w:t>
      </w:r>
      <w:r w:rsidRPr="00617BB1">
        <w:rPr>
          <w:rFonts w:ascii="Arial" w:eastAsia="Times New Roman" w:hAnsi="Arial" w:cs="Arial"/>
          <w:color w:val="000000"/>
          <w:sz w:val="24"/>
          <w:szCs w:val="24"/>
          <w:u w:val="single"/>
          <w:lang w:eastAsia="es-ES"/>
        </w:rPr>
        <w:t>recaída</w:t>
      </w:r>
      <w:r w:rsidRPr="00617BB1">
        <w:rPr>
          <w:rFonts w:ascii="Arial" w:eastAsia="Times New Roman" w:hAnsi="Arial" w:cs="Arial"/>
          <w:color w:val="000000"/>
          <w:sz w:val="24"/>
          <w:szCs w:val="24"/>
          <w:lang w:eastAsia="es-ES"/>
        </w:rPr>
        <w:t>, por lo que los requisitos para acceder al subsidio son los que se tuvieron en cuenta para el reconocimiento de la primera IT, de modo que tanto el período de carencia como el requisito de hallarse en alta o asimilada alta han de concurrir en el momento del hecho causante</w:t>
      </w:r>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La </w:t>
      </w:r>
      <w:hyperlink r:id="rId4" w:history="1">
        <w:r w:rsidRPr="00617BB1">
          <w:rPr>
            <w:rFonts w:ascii="Arial" w:eastAsia="Times New Roman" w:hAnsi="Arial" w:cs="Arial"/>
            <w:b/>
            <w:bCs/>
            <w:color w:val="0000FF"/>
            <w:sz w:val="24"/>
            <w:szCs w:val="24"/>
            <w:u w:val="single"/>
            <w:lang w:eastAsia="es-ES"/>
          </w:rPr>
          <w:t xml:space="preserve">sentencia del </w:t>
        </w:r>
        <w:proofErr w:type="spellStart"/>
        <w:r w:rsidRPr="00617BB1">
          <w:rPr>
            <w:rFonts w:ascii="Arial" w:eastAsia="Times New Roman" w:hAnsi="Arial" w:cs="Arial"/>
            <w:b/>
            <w:bCs/>
            <w:color w:val="0000FF"/>
            <w:sz w:val="24"/>
            <w:szCs w:val="24"/>
            <w:u w:val="single"/>
            <w:lang w:eastAsia="es-ES"/>
          </w:rPr>
          <w:t>TS</w:t>
        </w:r>
        <w:proofErr w:type="spellEnd"/>
        <w:r w:rsidRPr="00617BB1">
          <w:rPr>
            <w:rFonts w:ascii="Arial" w:eastAsia="Times New Roman" w:hAnsi="Arial" w:cs="Arial"/>
            <w:b/>
            <w:bCs/>
            <w:color w:val="0000FF"/>
            <w:sz w:val="24"/>
            <w:szCs w:val="24"/>
            <w:u w:val="single"/>
            <w:lang w:eastAsia="es-ES"/>
          </w:rPr>
          <w:t xml:space="preserve"> 01-04-2009</w:t>
        </w:r>
      </w:hyperlink>
      <w:r w:rsidRPr="00617BB1">
        <w:rPr>
          <w:rFonts w:ascii="Arial" w:eastAsia="Times New Roman" w:hAnsi="Arial" w:cs="Arial"/>
          <w:color w:val="000000"/>
          <w:sz w:val="24"/>
          <w:szCs w:val="24"/>
          <w:lang w:eastAsia="es-ES"/>
        </w:rPr>
        <w:t xml:space="preserve"> señala que:</w:t>
      </w:r>
    </w:p>
    <w:p w:rsidR="00617BB1" w:rsidRPr="00617BB1" w:rsidRDefault="00617BB1" w:rsidP="00617BB1">
      <w:pPr>
        <w:spacing w:after="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“…en otras palabras, tratándose de posible recaída en un mismo proceso de </w:t>
      </w:r>
      <w:proofErr w:type="spellStart"/>
      <w:r w:rsidRPr="00617BB1">
        <w:rPr>
          <w:rFonts w:ascii="Arial" w:eastAsia="Times New Roman" w:hAnsi="Arial" w:cs="Arial"/>
          <w:i/>
          <w:iCs/>
          <w:color w:val="000000"/>
          <w:sz w:val="24"/>
          <w:szCs w:val="24"/>
          <w:lang w:eastAsia="es-ES"/>
        </w:rPr>
        <w:t>I.T</w:t>
      </w:r>
      <w:proofErr w:type="spellEnd"/>
      <w:r w:rsidRPr="00617BB1">
        <w:rPr>
          <w:rFonts w:ascii="Arial" w:eastAsia="Times New Roman" w:hAnsi="Arial" w:cs="Arial"/>
          <w:i/>
          <w:iCs/>
          <w:color w:val="000000"/>
          <w:sz w:val="24"/>
          <w:szCs w:val="24"/>
          <w:lang w:eastAsia="es-ES"/>
        </w:rPr>
        <w:t xml:space="preserve">. (por no haberse agotado el período máximo de duración y por no haberse producido actividad laboral intermedia superior a </w:t>
      </w:r>
      <w:r w:rsidRPr="00617BB1">
        <w:rPr>
          <w:rFonts w:ascii="Arial" w:eastAsia="Times New Roman" w:hAnsi="Arial" w:cs="Arial"/>
          <w:i/>
          <w:iCs/>
          <w:color w:val="000000"/>
          <w:sz w:val="24"/>
          <w:szCs w:val="24"/>
          <w:u w:val="single"/>
          <w:lang w:eastAsia="es-ES"/>
        </w:rPr>
        <w:t>6 meses</w:t>
      </w:r>
      <w:r w:rsidRPr="00617BB1">
        <w:rPr>
          <w:rFonts w:ascii="Arial" w:eastAsia="Times New Roman" w:hAnsi="Arial" w:cs="Arial"/>
          <w:i/>
          <w:iCs/>
          <w:color w:val="000000"/>
          <w:sz w:val="24"/>
          <w:szCs w:val="24"/>
          <w:lang w:eastAsia="es-ES"/>
        </w:rPr>
        <w:t>), el hecho causante de la misma ha de situarse en la fecha en que se produjo la baja inicial, de manera que es a esta última fecha a la que habrá de referirse la concurrencia de los requisitos exigibles de alta en la seguridad social y de carencia suficiente…”</w:t>
      </w:r>
    </w:p>
    <w:p w:rsidR="00617BB1" w:rsidRPr="00617BB1" w:rsidRDefault="00617BB1" w:rsidP="00617BB1">
      <w:pPr>
        <w:spacing w:before="100"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Como se comprueba, a través de esta sentencia se admite un proceso de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aunque en la segunda baja médica no estuviese el trabajador en alta o asimilada al alta en la SS.</w:t>
      </w:r>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Ahora bien, según la </w:t>
      </w:r>
      <w:hyperlink r:id="rId5" w:history="1">
        <w:r w:rsidRPr="00617BB1">
          <w:rPr>
            <w:rFonts w:ascii="Arial" w:eastAsia="Times New Roman" w:hAnsi="Arial" w:cs="Arial"/>
            <w:b/>
            <w:bCs/>
            <w:color w:val="0000FF"/>
            <w:sz w:val="24"/>
            <w:szCs w:val="24"/>
            <w:u w:val="single"/>
            <w:lang w:eastAsia="es-ES"/>
          </w:rPr>
          <w:t xml:space="preserve">Sentencia del </w:t>
        </w:r>
        <w:proofErr w:type="spellStart"/>
        <w:r w:rsidRPr="00617BB1">
          <w:rPr>
            <w:rFonts w:ascii="Arial" w:eastAsia="Times New Roman" w:hAnsi="Arial" w:cs="Arial"/>
            <w:b/>
            <w:bCs/>
            <w:color w:val="0000FF"/>
            <w:sz w:val="24"/>
            <w:szCs w:val="24"/>
            <w:u w:val="single"/>
            <w:lang w:eastAsia="es-ES"/>
          </w:rPr>
          <w:t>TS</w:t>
        </w:r>
        <w:proofErr w:type="spellEnd"/>
        <w:r w:rsidRPr="00617BB1">
          <w:rPr>
            <w:rFonts w:ascii="Arial" w:eastAsia="Times New Roman" w:hAnsi="Arial" w:cs="Arial"/>
            <w:b/>
            <w:bCs/>
            <w:color w:val="0000FF"/>
            <w:sz w:val="24"/>
            <w:szCs w:val="24"/>
            <w:u w:val="single"/>
            <w:lang w:eastAsia="es-ES"/>
          </w:rPr>
          <w:t xml:space="preserve"> de 2-10-2003</w:t>
        </w:r>
      </w:hyperlink>
      <w:r w:rsidRPr="00617BB1">
        <w:rPr>
          <w:rFonts w:ascii="Arial" w:eastAsia="Times New Roman" w:hAnsi="Arial" w:cs="Arial"/>
          <w:color w:val="000000"/>
          <w:sz w:val="24"/>
          <w:szCs w:val="24"/>
          <w:lang w:eastAsia="es-ES"/>
        </w:rPr>
        <w:t xml:space="preserve">, la base reguladora del subsidio en las recaídas sería, en su caso, la del mes anterior a la 2ª baja médica. Al ser una recaída, la nueva baja no inicia un nuevo cómputo de duración, sino que se reanuda el período anterior, computándose el período consumido. Así en el artículo mencionado de la </w:t>
      </w:r>
      <w:proofErr w:type="spellStart"/>
      <w:r w:rsidRPr="00617BB1">
        <w:rPr>
          <w:rFonts w:ascii="Arial" w:eastAsia="Times New Roman" w:hAnsi="Arial" w:cs="Arial"/>
          <w:color w:val="000000"/>
          <w:sz w:val="24"/>
          <w:szCs w:val="24"/>
          <w:lang w:eastAsia="es-ES"/>
        </w:rPr>
        <w:t>LGSS</w:t>
      </w:r>
      <w:proofErr w:type="spellEnd"/>
      <w:r w:rsidRPr="00617BB1">
        <w:rPr>
          <w:rFonts w:ascii="Arial" w:eastAsia="Times New Roman" w:hAnsi="Arial" w:cs="Arial"/>
          <w:color w:val="000000"/>
          <w:sz w:val="24"/>
          <w:szCs w:val="24"/>
          <w:lang w:eastAsia="es-ES"/>
        </w:rPr>
        <w:t xml:space="preserve"> y en el </w:t>
      </w:r>
      <w:r w:rsidRPr="00617BB1">
        <w:rPr>
          <w:rFonts w:ascii="Arial" w:eastAsia="Times New Roman" w:hAnsi="Arial" w:cs="Arial"/>
          <w:color w:val="000000"/>
          <w:sz w:val="24"/>
          <w:szCs w:val="24"/>
          <w:u w:val="single"/>
          <w:lang w:eastAsia="es-ES"/>
        </w:rPr>
        <w:t>artículo 9.1</w:t>
      </w:r>
      <w:r w:rsidRPr="00617BB1">
        <w:rPr>
          <w:rFonts w:ascii="Arial" w:eastAsia="Times New Roman" w:hAnsi="Arial" w:cs="Arial"/>
          <w:color w:val="000000"/>
          <w:sz w:val="24"/>
          <w:szCs w:val="24"/>
          <w:lang w:eastAsia="es-ES"/>
        </w:rPr>
        <w:t xml:space="preserve"> de la O.M. de 13-10-1967 se indica que, en el período de duración máximo de </w:t>
      </w:r>
      <w:r w:rsidRPr="00617BB1">
        <w:rPr>
          <w:rFonts w:ascii="Arial" w:eastAsia="Times New Roman" w:hAnsi="Arial" w:cs="Arial"/>
          <w:color w:val="000000"/>
          <w:sz w:val="24"/>
          <w:szCs w:val="24"/>
          <w:u w:val="single"/>
          <w:lang w:eastAsia="es-ES"/>
        </w:rPr>
        <w:t>18 meses</w:t>
      </w:r>
      <w:r w:rsidRPr="00617BB1">
        <w:rPr>
          <w:rFonts w:ascii="Arial" w:eastAsia="Times New Roman" w:hAnsi="Arial" w:cs="Arial"/>
          <w:color w:val="000000"/>
          <w:sz w:val="24"/>
          <w:szCs w:val="24"/>
          <w:lang w:eastAsia="es-ES"/>
        </w:rPr>
        <w:t xml:space="preserve"> prorrogables extraordinariamente por </w:t>
      </w:r>
      <w:r w:rsidRPr="00617BB1">
        <w:rPr>
          <w:rFonts w:ascii="Arial" w:eastAsia="Times New Roman" w:hAnsi="Arial" w:cs="Arial"/>
          <w:color w:val="000000"/>
          <w:sz w:val="24"/>
          <w:szCs w:val="24"/>
          <w:u w:val="single"/>
          <w:lang w:eastAsia="es-ES"/>
        </w:rPr>
        <w:t>otros 6</w:t>
      </w:r>
      <w:r w:rsidRPr="00617BB1">
        <w:rPr>
          <w:rFonts w:ascii="Arial" w:eastAsia="Times New Roman" w:hAnsi="Arial" w:cs="Arial"/>
          <w:color w:val="000000"/>
          <w:sz w:val="24"/>
          <w:szCs w:val="24"/>
          <w:lang w:eastAsia="es-ES"/>
        </w:rPr>
        <w:t>, se incluyen los de observación y recaída.</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u w:val="single"/>
          <w:lang w:eastAsia="es-ES"/>
        </w:rPr>
        <w:t xml:space="preserve">Orden de 13-10-1967 por la que se establecen normas para la aplicación y desarrollo de la prestación por </w:t>
      </w:r>
      <w:proofErr w:type="spellStart"/>
      <w:r w:rsidRPr="00617BB1">
        <w:rPr>
          <w:rFonts w:ascii="Arial" w:eastAsia="Times New Roman" w:hAnsi="Arial" w:cs="Arial"/>
          <w:i/>
          <w:iCs/>
          <w:color w:val="000000"/>
          <w:sz w:val="24"/>
          <w:szCs w:val="24"/>
          <w:u w:val="single"/>
          <w:lang w:eastAsia="es-ES"/>
        </w:rPr>
        <w:t>ILT</w:t>
      </w:r>
      <w:proofErr w:type="spellEnd"/>
      <w:r w:rsidRPr="00617BB1">
        <w:rPr>
          <w:rFonts w:ascii="Arial" w:eastAsia="Times New Roman" w:hAnsi="Arial" w:cs="Arial"/>
          <w:i/>
          <w:iCs/>
          <w:color w:val="000000"/>
          <w:sz w:val="24"/>
          <w:szCs w:val="24"/>
          <w:u w:val="single"/>
          <w:lang w:eastAsia="es-ES"/>
        </w:rPr>
        <w:t xml:space="preserve"> en el Régimen general de la Seguridad Social.</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u w:val="single"/>
          <w:lang w:eastAsia="es-ES"/>
        </w:rPr>
        <w:t>Artículo 9. Duración del derecho.</w:t>
      </w:r>
    </w:p>
    <w:p w:rsidR="00617BB1" w:rsidRPr="00617BB1" w:rsidRDefault="00617BB1" w:rsidP="00617BB1">
      <w:pPr>
        <w:spacing w:after="4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1. El subsidio por </w:t>
      </w:r>
      <w:proofErr w:type="spellStart"/>
      <w:r w:rsidRPr="00617BB1">
        <w:rPr>
          <w:rFonts w:ascii="Arial" w:eastAsia="Times New Roman" w:hAnsi="Arial" w:cs="Arial"/>
          <w:i/>
          <w:iCs/>
          <w:color w:val="000000"/>
          <w:sz w:val="24"/>
          <w:szCs w:val="24"/>
          <w:lang w:eastAsia="es-ES"/>
        </w:rPr>
        <w:t>ILT</w:t>
      </w:r>
      <w:proofErr w:type="spellEnd"/>
      <w:r w:rsidRPr="00617BB1">
        <w:rPr>
          <w:rFonts w:ascii="Arial" w:eastAsia="Times New Roman" w:hAnsi="Arial" w:cs="Arial"/>
          <w:i/>
          <w:iCs/>
          <w:color w:val="000000"/>
          <w:sz w:val="24"/>
          <w:szCs w:val="24"/>
          <w:lang w:eastAsia="es-ES"/>
        </w:rPr>
        <w:t xml:space="preserve"> se abonará mientras el trabajador reciba asistencia sanitaria de la Seguridad Social, estando impedido para el trabajo por un período de duración máximo de </w:t>
      </w:r>
      <w:r w:rsidRPr="00617BB1">
        <w:rPr>
          <w:rFonts w:ascii="Arial" w:eastAsia="Times New Roman" w:hAnsi="Arial" w:cs="Arial"/>
          <w:i/>
          <w:iCs/>
          <w:color w:val="000000"/>
          <w:sz w:val="24"/>
          <w:szCs w:val="24"/>
          <w:u w:val="single"/>
          <w:lang w:eastAsia="es-ES"/>
        </w:rPr>
        <w:t>18 meses</w:t>
      </w:r>
      <w:r w:rsidRPr="00617BB1">
        <w:rPr>
          <w:rFonts w:ascii="Arial" w:eastAsia="Times New Roman" w:hAnsi="Arial" w:cs="Arial"/>
          <w:i/>
          <w:iCs/>
          <w:color w:val="000000"/>
          <w:sz w:val="24"/>
          <w:szCs w:val="24"/>
          <w:lang w:eastAsia="es-ES"/>
        </w:rPr>
        <w:t xml:space="preserve"> prorrogables por otros 6, si también se hubiese prorrogado dicha asistencia, incluyéndose para el cómputo de estos períodos los de observación y </w:t>
      </w:r>
      <w:r w:rsidRPr="00617BB1">
        <w:rPr>
          <w:rFonts w:ascii="Arial" w:eastAsia="Times New Roman" w:hAnsi="Arial" w:cs="Arial"/>
          <w:i/>
          <w:iCs/>
          <w:color w:val="000000"/>
          <w:sz w:val="24"/>
          <w:szCs w:val="24"/>
          <w:u w:val="single"/>
          <w:lang w:eastAsia="es-ES"/>
        </w:rPr>
        <w:t>recaída</w:t>
      </w:r>
      <w:r w:rsidRPr="00617BB1">
        <w:rPr>
          <w:rFonts w:ascii="Arial" w:eastAsia="Times New Roman" w:hAnsi="Arial" w:cs="Arial"/>
          <w:i/>
          <w:iCs/>
          <w:color w:val="000000"/>
          <w:sz w:val="24"/>
          <w:szCs w:val="24"/>
          <w:lang w:eastAsia="es-ES"/>
        </w:rPr>
        <w:t>.</w:t>
      </w:r>
    </w:p>
    <w:p w:rsidR="00617BB1" w:rsidRPr="00617BB1" w:rsidRDefault="00617BB1" w:rsidP="00617BB1">
      <w:pPr>
        <w:spacing w:after="0" w:line="240" w:lineRule="auto"/>
        <w:jc w:val="both"/>
        <w:rPr>
          <w:rFonts w:ascii="Arial" w:eastAsia="Times New Roman" w:hAnsi="Arial" w:cs="Arial"/>
          <w:color w:val="000000"/>
          <w:sz w:val="24"/>
          <w:szCs w:val="24"/>
          <w:lang w:eastAsia="es-ES"/>
        </w:rPr>
      </w:pPr>
      <w:r w:rsidRPr="00617BB1">
        <w:rPr>
          <w:rFonts w:ascii="Arial" w:eastAsia="Times New Roman" w:hAnsi="Arial" w:cs="Arial"/>
          <w:i/>
          <w:iCs/>
          <w:color w:val="000000"/>
          <w:sz w:val="24"/>
          <w:szCs w:val="24"/>
          <w:lang w:eastAsia="es-ES"/>
        </w:rPr>
        <w:t xml:space="preserve">Si el proceso de </w:t>
      </w:r>
      <w:proofErr w:type="spellStart"/>
      <w:r w:rsidRPr="00617BB1">
        <w:rPr>
          <w:rFonts w:ascii="Arial" w:eastAsia="Times New Roman" w:hAnsi="Arial" w:cs="Arial"/>
          <w:i/>
          <w:iCs/>
          <w:color w:val="000000"/>
          <w:sz w:val="24"/>
          <w:szCs w:val="24"/>
          <w:lang w:eastAsia="es-ES"/>
        </w:rPr>
        <w:t>ILT</w:t>
      </w:r>
      <w:proofErr w:type="spellEnd"/>
      <w:r w:rsidRPr="00617BB1">
        <w:rPr>
          <w:rFonts w:ascii="Arial" w:eastAsia="Times New Roman" w:hAnsi="Arial" w:cs="Arial"/>
          <w:i/>
          <w:iCs/>
          <w:color w:val="000000"/>
          <w:sz w:val="24"/>
          <w:szCs w:val="24"/>
          <w:lang w:eastAsia="es-ES"/>
        </w:rPr>
        <w:t xml:space="preserve"> se viere interrumpido por períodos de actividad laboral por un tiempo superior a </w:t>
      </w:r>
      <w:r w:rsidRPr="00617BB1">
        <w:rPr>
          <w:rFonts w:ascii="Arial" w:eastAsia="Times New Roman" w:hAnsi="Arial" w:cs="Arial"/>
          <w:i/>
          <w:iCs/>
          <w:color w:val="000000"/>
          <w:sz w:val="24"/>
          <w:szCs w:val="24"/>
          <w:u w:val="single"/>
          <w:lang w:eastAsia="es-ES"/>
        </w:rPr>
        <w:t>6 meses</w:t>
      </w:r>
      <w:r w:rsidRPr="00617BB1">
        <w:rPr>
          <w:rFonts w:ascii="Arial" w:eastAsia="Times New Roman" w:hAnsi="Arial" w:cs="Arial"/>
          <w:i/>
          <w:iCs/>
          <w:color w:val="000000"/>
          <w:sz w:val="24"/>
          <w:szCs w:val="24"/>
          <w:lang w:eastAsia="es-ES"/>
        </w:rPr>
        <w:t>, se iniciará otro nuevo, aunque se trate de la misma o similar enfermedad.</w:t>
      </w:r>
    </w:p>
    <w:p w:rsidR="00617BB1" w:rsidRPr="00617BB1" w:rsidRDefault="00617BB1" w:rsidP="00617BB1">
      <w:pPr>
        <w:spacing w:before="100"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Sin embargo, si el nuevo período de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tiene lugar dentro de los </w:t>
      </w:r>
      <w:r w:rsidRPr="00617BB1">
        <w:rPr>
          <w:rFonts w:ascii="Arial" w:eastAsia="Times New Roman" w:hAnsi="Arial" w:cs="Arial"/>
          <w:color w:val="000000"/>
          <w:sz w:val="24"/>
          <w:szCs w:val="24"/>
          <w:u w:val="single"/>
          <w:lang w:eastAsia="es-ES"/>
        </w:rPr>
        <w:t>180 días</w:t>
      </w:r>
      <w:r w:rsidRPr="00617BB1">
        <w:rPr>
          <w:rFonts w:ascii="Arial" w:eastAsia="Times New Roman" w:hAnsi="Arial" w:cs="Arial"/>
          <w:color w:val="000000"/>
          <w:sz w:val="24"/>
          <w:szCs w:val="24"/>
          <w:lang w:eastAsia="es-ES"/>
        </w:rPr>
        <w:t xml:space="preserve"> siguientes a la anterior alta médica, pero se había agotado la duración máxima de la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siempre que estemos ante igual o similar patología, nos encontramos ante una </w:t>
      </w:r>
      <w:r w:rsidRPr="00617BB1">
        <w:rPr>
          <w:rFonts w:ascii="Arial" w:eastAsia="Times New Roman" w:hAnsi="Arial" w:cs="Arial"/>
          <w:color w:val="000000"/>
          <w:sz w:val="24"/>
          <w:szCs w:val="24"/>
          <w:u w:val="single"/>
          <w:lang w:eastAsia="es-ES"/>
        </w:rPr>
        <w:t>recidiva</w:t>
      </w:r>
      <w:r w:rsidRPr="00617BB1">
        <w:rPr>
          <w:rFonts w:ascii="Arial" w:eastAsia="Times New Roman" w:hAnsi="Arial" w:cs="Arial"/>
          <w:color w:val="000000"/>
          <w:sz w:val="24"/>
          <w:szCs w:val="24"/>
          <w:lang w:eastAsia="es-ES"/>
        </w:rPr>
        <w:t xml:space="preserve">, una situación de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que integraría un nuevo proceso independiente. En este caso, es necesario cumplir los requisitos exigibles por la </w:t>
      </w:r>
      <w:proofErr w:type="spellStart"/>
      <w:r w:rsidRPr="00617BB1">
        <w:rPr>
          <w:rFonts w:ascii="Arial" w:eastAsia="Times New Roman" w:hAnsi="Arial" w:cs="Arial"/>
          <w:color w:val="000000"/>
          <w:sz w:val="24"/>
          <w:szCs w:val="24"/>
          <w:lang w:eastAsia="es-ES"/>
        </w:rPr>
        <w:t>LGSS</w:t>
      </w:r>
      <w:proofErr w:type="spellEnd"/>
      <w:r w:rsidRPr="00617BB1">
        <w:rPr>
          <w:rFonts w:ascii="Arial" w:eastAsia="Times New Roman" w:hAnsi="Arial" w:cs="Arial"/>
          <w:color w:val="000000"/>
          <w:sz w:val="24"/>
          <w:szCs w:val="24"/>
          <w:lang w:eastAsia="es-ES"/>
        </w:rPr>
        <w:t xml:space="preserve"> de hallarse en alta o situación asimilada al alta, así como reunir el período de cotización de </w:t>
      </w:r>
      <w:r w:rsidRPr="00617BB1">
        <w:rPr>
          <w:rFonts w:ascii="Arial" w:eastAsia="Times New Roman" w:hAnsi="Arial" w:cs="Arial"/>
          <w:color w:val="000000"/>
          <w:sz w:val="24"/>
          <w:szCs w:val="24"/>
          <w:u w:val="single"/>
          <w:lang w:eastAsia="es-ES"/>
        </w:rPr>
        <w:t>180 días</w:t>
      </w:r>
      <w:r w:rsidRPr="00617BB1">
        <w:rPr>
          <w:rFonts w:ascii="Arial" w:eastAsia="Times New Roman" w:hAnsi="Arial" w:cs="Arial"/>
          <w:color w:val="000000"/>
          <w:sz w:val="24"/>
          <w:szCs w:val="24"/>
          <w:lang w:eastAsia="es-ES"/>
        </w:rPr>
        <w:t xml:space="preserve"> dentro de los </w:t>
      </w:r>
      <w:r w:rsidRPr="00617BB1">
        <w:rPr>
          <w:rFonts w:ascii="Arial" w:eastAsia="Times New Roman" w:hAnsi="Arial" w:cs="Arial"/>
          <w:color w:val="000000"/>
          <w:sz w:val="24"/>
          <w:szCs w:val="24"/>
          <w:u w:val="single"/>
          <w:lang w:eastAsia="es-ES"/>
        </w:rPr>
        <w:t>5 años</w:t>
      </w:r>
      <w:r w:rsidRPr="00617BB1">
        <w:rPr>
          <w:rFonts w:ascii="Arial" w:eastAsia="Times New Roman" w:hAnsi="Arial" w:cs="Arial"/>
          <w:color w:val="000000"/>
          <w:sz w:val="24"/>
          <w:szCs w:val="24"/>
          <w:lang w:eastAsia="es-ES"/>
        </w:rPr>
        <w:t xml:space="preserve"> anteriores en la fecha del nuevo Hecho Causante, aunque, en este caso, se pueden volver a computar los años cotizados que sirvieron para el cálculo de la primera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al hallarse esas cotizaciones dentro de los </w:t>
      </w:r>
      <w:r w:rsidRPr="00617BB1">
        <w:rPr>
          <w:rFonts w:ascii="Arial" w:eastAsia="Times New Roman" w:hAnsi="Arial" w:cs="Arial"/>
          <w:color w:val="000000"/>
          <w:sz w:val="24"/>
          <w:szCs w:val="24"/>
          <w:u w:val="single"/>
          <w:lang w:eastAsia="es-ES"/>
        </w:rPr>
        <w:t>5 años</w:t>
      </w:r>
      <w:r w:rsidRPr="00617BB1">
        <w:rPr>
          <w:rFonts w:ascii="Arial" w:eastAsia="Times New Roman" w:hAnsi="Arial" w:cs="Arial"/>
          <w:color w:val="000000"/>
          <w:sz w:val="24"/>
          <w:szCs w:val="24"/>
          <w:lang w:eastAsia="es-ES"/>
        </w:rPr>
        <w:t xml:space="preserve"> anteriores al hecho causante</w:t>
      </w:r>
    </w:p>
    <w:p w:rsidR="00617BB1" w:rsidRPr="00617BB1" w:rsidRDefault="00617BB1" w:rsidP="00617BB1">
      <w:pPr>
        <w:spacing w:after="10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 xml:space="preserve">Sentencia del </w:t>
      </w:r>
      <w:proofErr w:type="spellStart"/>
      <w:r w:rsidRPr="00617BB1">
        <w:rPr>
          <w:rFonts w:ascii="Arial" w:eastAsia="Times New Roman" w:hAnsi="Arial" w:cs="Arial"/>
          <w:color w:val="000000"/>
          <w:sz w:val="24"/>
          <w:szCs w:val="24"/>
          <w:lang w:eastAsia="es-ES"/>
        </w:rPr>
        <w:t>TS</w:t>
      </w:r>
      <w:proofErr w:type="spellEnd"/>
      <w:r w:rsidRPr="00617BB1">
        <w:rPr>
          <w:rFonts w:ascii="Arial" w:eastAsia="Times New Roman" w:hAnsi="Arial" w:cs="Arial"/>
          <w:color w:val="000000"/>
          <w:sz w:val="24"/>
          <w:szCs w:val="24"/>
          <w:lang w:eastAsia="es-ES"/>
        </w:rPr>
        <w:t xml:space="preserve"> 24-04-2009:</w:t>
      </w:r>
    </w:p>
    <w:p w:rsidR="00617BB1" w:rsidRPr="00617BB1" w:rsidRDefault="00617BB1" w:rsidP="00617BB1">
      <w:pPr>
        <w:spacing w:after="0" w:line="240" w:lineRule="auto"/>
        <w:jc w:val="both"/>
        <w:rPr>
          <w:rFonts w:ascii="Arial" w:eastAsia="Times New Roman" w:hAnsi="Arial" w:cs="Arial"/>
          <w:color w:val="000000"/>
          <w:sz w:val="24"/>
          <w:szCs w:val="24"/>
          <w:lang w:eastAsia="es-ES"/>
        </w:rPr>
      </w:pPr>
      <w:r w:rsidRPr="00617BB1">
        <w:rPr>
          <w:rFonts w:ascii="Arial" w:eastAsia="Times New Roman" w:hAnsi="Arial" w:cs="Arial"/>
          <w:color w:val="000000"/>
          <w:sz w:val="24"/>
          <w:szCs w:val="24"/>
          <w:lang w:eastAsia="es-ES"/>
        </w:rPr>
        <w:t>“</w:t>
      </w:r>
      <w:r w:rsidRPr="00617BB1">
        <w:rPr>
          <w:rFonts w:ascii="Arial" w:eastAsia="Times New Roman" w:hAnsi="Arial" w:cs="Arial"/>
          <w:i/>
          <w:iCs/>
          <w:color w:val="000000"/>
          <w:sz w:val="24"/>
          <w:szCs w:val="24"/>
          <w:lang w:eastAsia="es-ES"/>
        </w:rPr>
        <w:t xml:space="preserve">En el supuesto de que el derecho al (primer) subsidio se extinga por el transcurso del plazo máximo establecido en el apartado a) del número 1 del artículo 128 y el trabajador hubiese sido dado de alta médica sin declaración de incapacidad permanente, sólo podrá generarse un nuevo proceso de </w:t>
      </w:r>
      <w:proofErr w:type="spellStart"/>
      <w:r w:rsidRPr="00617BB1">
        <w:rPr>
          <w:rFonts w:ascii="Arial" w:eastAsia="Times New Roman" w:hAnsi="Arial" w:cs="Arial"/>
          <w:i/>
          <w:iCs/>
          <w:color w:val="000000"/>
          <w:sz w:val="24"/>
          <w:szCs w:val="24"/>
          <w:lang w:eastAsia="es-ES"/>
        </w:rPr>
        <w:t>I.T</w:t>
      </w:r>
      <w:proofErr w:type="spellEnd"/>
      <w:r w:rsidRPr="00617BB1">
        <w:rPr>
          <w:rFonts w:ascii="Arial" w:eastAsia="Times New Roman" w:hAnsi="Arial" w:cs="Arial"/>
          <w:i/>
          <w:iCs/>
          <w:color w:val="000000"/>
          <w:sz w:val="24"/>
          <w:szCs w:val="24"/>
          <w:lang w:eastAsia="es-ES"/>
        </w:rPr>
        <w:t xml:space="preserve">. por la misma o similar patología si media un período de actividad laboral superior a 180 días o si (no habiendo transcurrido ese plazo) el </w:t>
      </w:r>
      <w:proofErr w:type="spellStart"/>
      <w:r w:rsidRPr="00617BB1">
        <w:rPr>
          <w:rFonts w:ascii="Arial" w:eastAsia="Times New Roman" w:hAnsi="Arial" w:cs="Arial"/>
          <w:i/>
          <w:iCs/>
          <w:color w:val="000000"/>
          <w:sz w:val="24"/>
          <w:szCs w:val="24"/>
          <w:lang w:eastAsia="es-ES"/>
        </w:rPr>
        <w:t>INSS</w:t>
      </w:r>
      <w:proofErr w:type="spellEnd"/>
      <w:r w:rsidRPr="00617BB1">
        <w:rPr>
          <w:rFonts w:ascii="Arial" w:eastAsia="Times New Roman" w:hAnsi="Arial" w:cs="Arial"/>
          <w:i/>
          <w:iCs/>
          <w:color w:val="000000"/>
          <w:sz w:val="24"/>
          <w:szCs w:val="24"/>
          <w:lang w:eastAsia="es-ES"/>
        </w:rPr>
        <w:t xml:space="preserve">… emite la baja a los exclusivos efectos de la prestación económica por </w:t>
      </w:r>
      <w:proofErr w:type="spellStart"/>
      <w:r w:rsidRPr="00617BB1">
        <w:rPr>
          <w:rFonts w:ascii="Arial" w:eastAsia="Times New Roman" w:hAnsi="Arial" w:cs="Arial"/>
          <w:i/>
          <w:iCs/>
          <w:color w:val="000000"/>
          <w:sz w:val="24"/>
          <w:szCs w:val="24"/>
          <w:lang w:eastAsia="es-ES"/>
        </w:rPr>
        <w:t>I.T</w:t>
      </w:r>
      <w:proofErr w:type="spellEnd"/>
      <w:r w:rsidRPr="00617BB1">
        <w:rPr>
          <w:rFonts w:ascii="Arial" w:eastAsia="Times New Roman" w:hAnsi="Arial" w:cs="Arial"/>
          <w:i/>
          <w:iCs/>
          <w:color w:val="000000"/>
          <w:sz w:val="24"/>
          <w:szCs w:val="24"/>
          <w:lang w:eastAsia="es-ES"/>
        </w:rPr>
        <w:t>.”.</w:t>
      </w:r>
    </w:p>
    <w:p w:rsidR="003D00EE" w:rsidRPr="00617BB1" w:rsidRDefault="00617BB1" w:rsidP="00617BB1">
      <w:pPr>
        <w:jc w:val="both"/>
        <w:rPr>
          <w:sz w:val="24"/>
          <w:szCs w:val="24"/>
        </w:rPr>
      </w:pPr>
      <w:r w:rsidRPr="00617BB1">
        <w:rPr>
          <w:rFonts w:ascii="Arial" w:eastAsia="Times New Roman" w:hAnsi="Arial" w:cs="Arial"/>
          <w:color w:val="000000"/>
          <w:sz w:val="24"/>
          <w:szCs w:val="24"/>
          <w:lang w:eastAsia="es-ES"/>
        </w:rPr>
        <w:t xml:space="preserve">Por otra parte. no se olvide que si el proceso de </w:t>
      </w:r>
      <w:proofErr w:type="spellStart"/>
      <w:r w:rsidRPr="00617BB1">
        <w:rPr>
          <w:rFonts w:ascii="Arial" w:eastAsia="Times New Roman" w:hAnsi="Arial" w:cs="Arial"/>
          <w:color w:val="000000"/>
          <w:sz w:val="24"/>
          <w:szCs w:val="24"/>
          <w:lang w:eastAsia="es-ES"/>
        </w:rPr>
        <w:t>I.T</w:t>
      </w:r>
      <w:proofErr w:type="spellEnd"/>
      <w:r w:rsidRPr="00617BB1">
        <w:rPr>
          <w:rFonts w:ascii="Arial" w:eastAsia="Times New Roman" w:hAnsi="Arial" w:cs="Arial"/>
          <w:color w:val="000000"/>
          <w:sz w:val="24"/>
          <w:szCs w:val="24"/>
          <w:lang w:eastAsia="es-ES"/>
        </w:rPr>
        <w:t xml:space="preserve">. se viere interrumpido por períodos de actividad laboral por un tiempo </w:t>
      </w:r>
      <w:r w:rsidRPr="00617BB1">
        <w:rPr>
          <w:rFonts w:ascii="Arial" w:eastAsia="Times New Roman" w:hAnsi="Arial" w:cs="Arial"/>
          <w:color w:val="000000"/>
          <w:sz w:val="24"/>
          <w:szCs w:val="24"/>
          <w:u w:val="single"/>
          <w:lang w:eastAsia="es-ES"/>
        </w:rPr>
        <w:t>superior a 6 meses</w:t>
      </w:r>
      <w:r w:rsidRPr="00617BB1">
        <w:rPr>
          <w:rFonts w:ascii="Arial" w:eastAsia="Times New Roman" w:hAnsi="Arial" w:cs="Arial"/>
          <w:color w:val="000000"/>
          <w:sz w:val="24"/>
          <w:szCs w:val="24"/>
          <w:lang w:eastAsia="es-ES"/>
        </w:rPr>
        <w:t>, se iniciará otro nuevo, aunque se trate de la misma o similar enfermedad.</w:t>
      </w:r>
    </w:p>
    <w:sectPr w:rsidR="003D00EE" w:rsidRPr="00617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B1"/>
    <w:rsid w:val="003D00EE"/>
    <w:rsid w:val="00617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9078"/>
  <w15:chartTrackingRefBased/>
  <w15:docId w15:val="{838FC5C7-6EDE-449D-8586-B4575AD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8616">
      <w:bodyDiv w:val="1"/>
      <w:marLeft w:val="0"/>
      <w:marRight w:val="0"/>
      <w:marTop w:val="0"/>
      <w:marBottom w:val="0"/>
      <w:divBdr>
        <w:top w:val="none" w:sz="0" w:space="0" w:color="auto"/>
        <w:left w:val="none" w:sz="0" w:space="0" w:color="auto"/>
        <w:bottom w:val="none" w:sz="0" w:space="0" w:color="auto"/>
        <w:right w:val="none" w:sz="0" w:space="0" w:color="auto"/>
      </w:divBdr>
      <w:divsChild>
        <w:div w:id="115224387">
          <w:marLeft w:val="0"/>
          <w:marRight w:val="0"/>
          <w:marTop w:val="0"/>
          <w:marBottom w:val="0"/>
          <w:divBdr>
            <w:top w:val="dashed" w:sz="8" w:space="1" w:color="auto"/>
            <w:left w:val="dashed" w:sz="8" w:space="4" w:color="auto"/>
            <w:bottom w:val="dashed" w:sz="8" w:space="1" w:color="auto"/>
            <w:right w:val="dashed" w:sz="8" w:space="4" w:color="auto"/>
          </w:divBdr>
        </w:div>
        <w:div w:id="757751944">
          <w:marLeft w:val="0"/>
          <w:marRight w:val="0"/>
          <w:marTop w:val="0"/>
          <w:marBottom w:val="0"/>
          <w:divBdr>
            <w:top w:val="dashed" w:sz="8" w:space="1" w:color="auto"/>
            <w:left w:val="dashed" w:sz="8" w:space="4" w:color="auto"/>
            <w:bottom w:val="dashed" w:sz="8" w:space="1" w:color="auto"/>
            <w:right w:val="dashed" w:sz="8" w:space="4" w:color="auto"/>
          </w:divBdr>
        </w:div>
        <w:div w:id="2036147489">
          <w:marLeft w:val="0"/>
          <w:marRight w:val="0"/>
          <w:marTop w:val="0"/>
          <w:marBottom w:val="0"/>
          <w:divBdr>
            <w:top w:val="dashed" w:sz="8" w:space="1" w:color="auto"/>
            <w:left w:val="dashed" w:sz="8" w:space="4" w:color="auto"/>
            <w:bottom w:val="dashed" w:sz="8" w:space="1" w:color="auto"/>
            <w:right w:val="dashed" w:sz="8" w:space="4" w:color="auto"/>
          </w:divBdr>
        </w:div>
        <w:div w:id="175716983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erjudicial.es/search/contenidos.action?action=contentpdf&amp;databasematch=TS&amp;reference=2972901&amp;links=&amp;optimize=20031125" TargetMode="External"/><Relationship Id="rId4" Type="http://schemas.openxmlformats.org/officeDocument/2006/relationships/hyperlink" Target="http://www.poderjudicial.es/search/contenidos.action?action=contentpdf&amp;databasematch=TS&amp;reference=4600012&amp;links=&amp;optimize=200906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2019-02-15T11:20:00Z</dcterms:created>
  <dcterms:modified xsi:type="dcterms:W3CDTF">2019-02-15T11:22:00Z</dcterms:modified>
</cp:coreProperties>
</file>