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316" w:rsidRPr="00437BB2" w:rsidRDefault="009A0316" w:rsidP="00437BB2">
      <w:pPr>
        <w:jc w:val="both"/>
        <w:rPr>
          <w:sz w:val="40"/>
          <w:szCs w:val="40"/>
        </w:rPr>
      </w:pPr>
      <w:r w:rsidRPr="00437BB2">
        <w:rPr>
          <w:sz w:val="40"/>
          <w:szCs w:val="40"/>
        </w:rPr>
        <w:t xml:space="preserve">Orden TMS/83/2019, de 31 de enero, por la que se desarrollan las normas legales de cotización a la Seguridad Social, </w:t>
      </w:r>
      <w:r w:rsidRPr="00437BB2">
        <w:rPr>
          <w:sz w:val="40"/>
          <w:szCs w:val="40"/>
          <w:u w:val="single"/>
        </w:rPr>
        <w:t>desempleo, protección por cese de actividad, Fondo de Garantía Salarial y formación profesional para el ejercicio 2019</w:t>
      </w:r>
    </w:p>
    <w:p w:rsidR="009A0316" w:rsidRPr="009A1928" w:rsidRDefault="009A0316" w:rsidP="00437BB2">
      <w:pPr>
        <w:jc w:val="both"/>
      </w:pPr>
    </w:p>
    <w:p w:rsidR="009A0316" w:rsidRPr="009A1928" w:rsidRDefault="009A0316" w:rsidP="00437BB2">
      <w:pPr>
        <w:jc w:val="both"/>
      </w:pPr>
      <w:r w:rsidRPr="009A1928">
        <w:t xml:space="preserve">Órgano MINISTERIO DE TRABAJO, MIGRACIONES Y SEGURIDAD SOCIAL </w:t>
      </w:r>
    </w:p>
    <w:p w:rsidR="009A0316" w:rsidRPr="009A1928" w:rsidRDefault="009A0316" w:rsidP="00437BB2">
      <w:pPr>
        <w:jc w:val="both"/>
      </w:pPr>
      <w:r w:rsidRPr="009A1928">
        <w:t xml:space="preserve">Publicado en BOE núm. 29 de 02 de </w:t>
      </w:r>
      <w:r w:rsidR="00374580" w:rsidRPr="009A1928">
        <w:t>febrero</w:t>
      </w:r>
      <w:r w:rsidRPr="009A1928">
        <w:t xml:space="preserve"> de 2019 </w:t>
      </w:r>
    </w:p>
    <w:p w:rsidR="009A0316" w:rsidRPr="009A1928" w:rsidRDefault="009A0316" w:rsidP="00437BB2">
      <w:pPr>
        <w:jc w:val="both"/>
      </w:pPr>
      <w:r w:rsidRPr="009A1928">
        <w:t xml:space="preserve">Vigencia desde 03 de </w:t>
      </w:r>
      <w:r w:rsidR="00374580" w:rsidRPr="009A1928">
        <w:t>febrero</w:t>
      </w:r>
      <w:r w:rsidRPr="009A1928">
        <w:t xml:space="preserve"> de 2019 </w:t>
      </w:r>
    </w:p>
    <w:p w:rsidR="009A0316" w:rsidRPr="009A1928" w:rsidRDefault="00374580" w:rsidP="00437BB2">
      <w:pPr>
        <w:jc w:val="both"/>
      </w:pPr>
      <w:r w:rsidRPr="009A1928">
        <w:t>INTRODUCCIÓN</w:t>
      </w:r>
      <w:r w:rsidR="009A0316" w:rsidRPr="009A1928">
        <w:t xml:space="preserve"> </w:t>
      </w:r>
    </w:p>
    <w:p w:rsidR="009A0316" w:rsidRPr="009A1928" w:rsidRDefault="009A0316" w:rsidP="00437BB2">
      <w:pPr>
        <w:jc w:val="both"/>
      </w:pPr>
      <w:r w:rsidRPr="009A1928">
        <w:t xml:space="preserve">CAPÍTULO I.  Cotización a la Seguridad Social </w:t>
      </w:r>
    </w:p>
    <w:p w:rsidR="009A0316" w:rsidRPr="009A1928" w:rsidRDefault="009A0316" w:rsidP="00437BB2">
      <w:pPr>
        <w:jc w:val="both"/>
      </w:pPr>
      <w:r w:rsidRPr="009A1928">
        <w:t xml:space="preserve">SECCIÓN 1.  Régimen general de la seguridad social </w:t>
      </w:r>
    </w:p>
    <w:p w:rsidR="009A0316" w:rsidRPr="009A1928" w:rsidRDefault="009A0316" w:rsidP="00437BB2">
      <w:pPr>
        <w:jc w:val="both"/>
      </w:pPr>
      <w:r w:rsidRPr="009A1928">
        <w:t xml:space="preserve">Artículo </w:t>
      </w:r>
      <w:r w:rsidR="00374580" w:rsidRPr="009A1928">
        <w:t>1 Determinación</w:t>
      </w:r>
      <w:r w:rsidRPr="009A1928">
        <w:t xml:space="preserve"> de la base de cotización </w:t>
      </w:r>
    </w:p>
    <w:p w:rsidR="009A0316" w:rsidRPr="009A1928" w:rsidRDefault="009A0316" w:rsidP="00437BB2">
      <w:pPr>
        <w:jc w:val="both"/>
      </w:pPr>
      <w:r w:rsidRPr="009A1928">
        <w:t xml:space="preserve">Artículo </w:t>
      </w:r>
      <w:r w:rsidR="00374580" w:rsidRPr="009A1928">
        <w:t>2 Topes</w:t>
      </w:r>
      <w:r w:rsidRPr="009A1928">
        <w:t xml:space="preserve"> máximo y mínimo de cotización </w:t>
      </w:r>
    </w:p>
    <w:p w:rsidR="009A0316" w:rsidRPr="009A1928" w:rsidRDefault="009A0316" w:rsidP="00437BB2">
      <w:pPr>
        <w:jc w:val="both"/>
      </w:pPr>
      <w:r w:rsidRPr="009A1928">
        <w:t xml:space="preserve">Artículo </w:t>
      </w:r>
      <w:r w:rsidR="00374580" w:rsidRPr="009A1928">
        <w:t>3 Bases</w:t>
      </w:r>
      <w:r w:rsidRPr="009A1928">
        <w:t xml:space="preserve"> máximas y mínimas de cotización </w:t>
      </w:r>
    </w:p>
    <w:p w:rsidR="009A0316" w:rsidRPr="009A1928" w:rsidRDefault="009A0316" w:rsidP="00437BB2">
      <w:pPr>
        <w:jc w:val="both"/>
      </w:pPr>
      <w:r w:rsidRPr="009A1928">
        <w:t xml:space="preserve">Artículo </w:t>
      </w:r>
      <w:r w:rsidR="00374580" w:rsidRPr="009A1928">
        <w:t>4 Tipos</w:t>
      </w:r>
      <w:r w:rsidRPr="009A1928">
        <w:t xml:space="preserve"> de cotización </w:t>
      </w:r>
    </w:p>
    <w:p w:rsidR="009A0316" w:rsidRPr="009A1928" w:rsidRDefault="009A0316" w:rsidP="00437BB2">
      <w:pPr>
        <w:jc w:val="both"/>
      </w:pPr>
      <w:r w:rsidRPr="009A1928">
        <w:t xml:space="preserve">Artículo </w:t>
      </w:r>
      <w:r w:rsidR="00374580" w:rsidRPr="009A1928">
        <w:t>5 Cotización</w:t>
      </w:r>
      <w:r w:rsidRPr="009A1928">
        <w:t xml:space="preserve"> adicional por horas extraordinarias </w:t>
      </w:r>
    </w:p>
    <w:p w:rsidR="009A0316" w:rsidRPr="009A1928" w:rsidRDefault="009A0316" w:rsidP="00437BB2">
      <w:pPr>
        <w:jc w:val="both"/>
      </w:pPr>
      <w:r w:rsidRPr="009A1928">
        <w:t xml:space="preserve">Artículo </w:t>
      </w:r>
      <w:r w:rsidR="00374580" w:rsidRPr="009A1928">
        <w:t>6 Cotización</w:t>
      </w:r>
      <w:r w:rsidRPr="009A1928">
        <w:t xml:space="preserve"> durante las situaciones de incapacidad temporal, riesgo durante el embarazo, riesgo durante la lactancia natural, maternidad y paternidad, y en los casos de compatibilidad del subsidio por maternidad o paternidad con períodos de descanso en régimen de jornada a tiempo parcial </w:t>
      </w:r>
    </w:p>
    <w:p w:rsidR="009A0316" w:rsidRPr="009A1928" w:rsidRDefault="009A0316" w:rsidP="00437BB2">
      <w:pPr>
        <w:jc w:val="both"/>
      </w:pPr>
      <w:r w:rsidRPr="009A1928">
        <w:t xml:space="preserve">Artículo </w:t>
      </w:r>
      <w:r w:rsidR="00374580" w:rsidRPr="009A1928">
        <w:t>7 Cotización</w:t>
      </w:r>
      <w:r w:rsidRPr="009A1928">
        <w:t xml:space="preserve"> en la situación de alta sin percibo de remuneración </w:t>
      </w:r>
    </w:p>
    <w:p w:rsidR="009A0316" w:rsidRPr="009A1928" w:rsidRDefault="009A0316" w:rsidP="00437BB2">
      <w:pPr>
        <w:jc w:val="both"/>
      </w:pPr>
      <w:r w:rsidRPr="009A1928">
        <w:t xml:space="preserve">Artículo </w:t>
      </w:r>
      <w:r w:rsidR="00374580" w:rsidRPr="009A1928">
        <w:t>8 Base</w:t>
      </w:r>
      <w:r w:rsidRPr="009A1928">
        <w:t xml:space="preserve"> de cotización en la situación de desempleo protegido </w:t>
      </w:r>
    </w:p>
    <w:p w:rsidR="009A0316" w:rsidRPr="009A1928" w:rsidRDefault="009A0316" w:rsidP="00437BB2">
      <w:pPr>
        <w:jc w:val="both"/>
      </w:pPr>
      <w:r w:rsidRPr="009A1928">
        <w:t xml:space="preserve">Artículo </w:t>
      </w:r>
      <w:r w:rsidR="00374580" w:rsidRPr="009A1928">
        <w:t>9 Cotización</w:t>
      </w:r>
      <w:r w:rsidRPr="009A1928">
        <w:t xml:space="preserve"> en la situación de pluriempleo </w:t>
      </w:r>
    </w:p>
    <w:p w:rsidR="009A0316" w:rsidRPr="009A1928" w:rsidRDefault="009A0316" w:rsidP="00437BB2">
      <w:pPr>
        <w:jc w:val="both"/>
      </w:pPr>
      <w:r w:rsidRPr="009A1928">
        <w:t xml:space="preserve">Artículo </w:t>
      </w:r>
      <w:r w:rsidR="00374580" w:rsidRPr="009A1928">
        <w:t>10 Cotización</w:t>
      </w:r>
      <w:r w:rsidRPr="009A1928">
        <w:t xml:space="preserve"> de los artistas </w:t>
      </w:r>
    </w:p>
    <w:p w:rsidR="009A0316" w:rsidRPr="009A1928" w:rsidRDefault="009A0316" w:rsidP="00437BB2">
      <w:pPr>
        <w:jc w:val="both"/>
      </w:pPr>
      <w:r w:rsidRPr="009A1928">
        <w:t xml:space="preserve">Artículo </w:t>
      </w:r>
      <w:r w:rsidR="00374580" w:rsidRPr="009A1928">
        <w:t>11 Cotización</w:t>
      </w:r>
      <w:r w:rsidRPr="009A1928">
        <w:t xml:space="preserve"> de los profesionales taurinos </w:t>
      </w:r>
    </w:p>
    <w:p w:rsidR="009A0316" w:rsidRPr="009A1928" w:rsidRDefault="009A0316" w:rsidP="00437BB2">
      <w:pPr>
        <w:jc w:val="both"/>
      </w:pPr>
      <w:r w:rsidRPr="009A1928">
        <w:t xml:space="preserve">Artículo </w:t>
      </w:r>
      <w:r w:rsidR="00374580" w:rsidRPr="009A1928">
        <w:t>12 Cotización</w:t>
      </w:r>
      <w:r w:rsidRPr="009A1928">
        <w:t xml:space="preserve"> en el Sistema Especial para las tareas de manipulado y empaquetado de tomate fresco dentro del Régimen General de la Seguridad Social </w:t>
      </w:r>
    </w:p>
    <w:p w:rsidR="009A0316" w:rsidRPr="009A1928" w:rsidRDefault="009A0316" w:rsidP="00437BB2">
      <w:pPr>
        <w:jc w:val="both"/>
      </w:pPr>
      <w:r w:rsidRPr="009A1928">
        <w:t xml:space="preserve">Artículo </w:t>
      </w:r>
      <w:r w:rsidR="00374580" w:rsidRPr="009A1928">
        <w:t>13 Bases</w:t>
      </w:r>
      <w:r w:rsidRPr="009A1928">
        <w:t xml:space="preserve"> y tipos de cotización en el Sistema Especial para Trabajadores por Cuenta Ajena Agrarios establecido en el Régimen General de la Seguridad Social </w:t>
      </w:r>
    </w:p>
    <w:p w:rsidR="009A0316" w:rsidRPr="009A1928" w:rsidRDefault="009A0316" w:rsidP="00437BB2">
      <w:pPr>
        <w:jc w:val="both"/>
      </w:pPr>
      <w:r w:rsidRPr="009A1928">
        <w:t xml:space="preserve">Artículo </w:t>
      </w:r>
      <w:r w:rsidR="00374580" w:rsidRPr="009A1928">
        <w:t>14 Bases</w:t>
      </w:r>
      <w:r w:rsidRPr="009A1928">
        <w:t xml:space="preserve"> y tipos de cotización en el Sistema Especial para Empleados de Hogar establecido en el Régimen General de la Seguridad Social </w:t>
      </w:r>
    </w:p>
    <w:p w:rsidR="009A0316" w:rsidRPr="009A1928" w:rsidRDefault="009A0316" w:rsidP="00437BB2">
      <w:pPr>
        <w:jc w:val="both"/>
      </w:pPr>
      <w:r w:rsidRPr="009A1928">
        <w:t xml:space="preserve">SECCIÓN 2.  Régimen Especial de la Seguridad Social de los Trabajadores por Cuenta Propia o Autónomos </w:t>
      </w:r>
    </w:p>
    <w:p w:rsidR="009A0316" w:rsidRPr="009A1928" w:rsidRDefault="009A0316" w:rsidP="00437BB2">
      <w:pPr>
        <w:jc w:val="both"/>
      </w:pPr>
      <w:r w:rsidRPr="009A1928">
        <w:t xml:space="preserve">Artículo </w:t>
      </w:r>
      <w:r w:rsidR="00374580" w:rsidRPr="009A1928">
        <w:t>15 Bases</w:t>
      </w:r>
      <w:r w:rsidRPr="009A1928">
        <w:t xml:space="preserve"> y tipos de cotización </w:t>
      </w:r>
    </w:p>
    <w:p w:rsidR="009A0316" w:rsidRPr="009A1928" w:rsidRDefault="009A0316" w:rsidP="00437BB2">
      <w:pPr>
        <w:jc w:val="both"/>
      </w:pPr>
      <w:r w:rsidRPr="009A1928">
        <w:t xml:space="preserve">Artículo </w:t>
      </w:r>
      <w:r w:rsidR="00374580" w:rsidRPr="009A1928">
        <w:t>16 Bases</w:t>
      </w:r>
      <w:r w:rsidRPr="009A1928">
        <w:t xml:space="preserve"> y tipos de cotización en el Sistema Especial para Trabajadores por Cuenta Propia Agrarios, establecido en el Régimen Especial de la Seguridad Social de los Trabajadores por Cuenta Propia o Autónomos </w:t>
      </w:r>
    </w:p>
    <w:p w:rsidR="009A0316" w:rsidRPr="009A1928" w:rsidRDefault="009A0316" w:rsidP="00437BB2">
      <w:pPr>
        <w:jc w:val="both"/>
      </w:pPr>
      <w:r w:rsidRPr="009A1928">
        <w:t xml:space="preserve">SECCIÓN 3.  Régimen Especial de la Seguridad Social de los Trabajadores del Mar </w:t>
      </w:r>
    </w:p>
    <w:p w:rsidR="009A0316" w:rsidRPr="009A1928" w:rsidRDefault="009A0316" w:rsidP="00437BB2">
      <w:pPr>
        <w:jc w:val="both"/>
      </w:pPr>
      <w:r w:rsidRPr="009A1928">
        <w:t xml:space="preserve">Artículo </w:t>
      </w:r>
      <w:r w:rsidR="00374580" w:rsidRPr="009A1928">
        <w:t>17 Normas</w:t>
      </w:r>
      <w:r w:rsidRPr="009A1928">
        <w:t xml:space="preserve"> aplicables </w:t>
      </w:r>
    </w:p>
    <w:p w:rsidR="009A0316" w:rsidRPr="009A1928" w:rsidRDefault="009A0316" w:rsidP="00437BB2">
      <w:pPr>
        <w:jc w:val="both"/>
      </w:pPr>
      <w:r w:rsidRPr="009A1928">
        <w:t xml:space="preserve">SECCIÓN 4.  Régimen Especial de la Seguridad Social para la Minería del Carbón </w:t>
      </w:r>
    </w:p>
    <w:p w:rsidR="009A0316" w:rsidRPr="009A1928" w:rsidRDefault="009A0316" w:rsidP="00437BB2">
      <w:pPr>
        <w:jc w:val="both"/>
      </w:pPr>
      <w:r w:rsidRPr="009A1928">
        <w:t xml:space="preserve">Artículo </w:t>
      </w:r>
      <w:r w:rsidR="00374580" w:rsidRPr="009A1928">
        <w:t>18 Peculiaridades</w:t>
      </w:r>
      <w:r w:rsidRPr="009A1928">
        <w:t xml:space="preserve"> en la cotización en el Régimen Especial de la Seguridad Social para la Minería del Carbón </w:t>
      </w:r>
    </w:p>
    <w:p w:rsidR="009A0316" w:rsidRPr="009A1928" w:rsidRDefault="009A0316" w:rsidP="00437BB2">
      <w:pPr>
        <w:jc w:val="both"/>
      </w:pPr>
      <w:r w:rsidRPr="009A1928">
        <w:t xml:space="preserve">SECCIÓN 5.  Coeficientes reductores de la cotización aplicables a las empresas excluidas de alguna contingencia y a las empresas colaboradoras </w:t>
      </w:r>
    </w:p>
    <w:p w:rsidR="009A0316" w:rsidRPr="009A1928" w:rsidRDefault="009A0316" w:rsidP="00437BB2">
      <w:pPr>
        <w:jc w:val="both"/>
      </w:pPr>
      <w:r w:rsidRPr="009A1928">
        <w:t xml:space="preserve">Artículo </w:t>
      </w:r>
      <w:r w:rsidR="00374580" w:rsidRPr="009A1928">
        <w:t>19 Coeficientes</w:t>
      </w:r>
      <w:r w:rsidRPr="009A1928">
        <w:t xml:space="preserve"> aplicables a las empresas excluidas de alguna contingencia </w:t>
      </w:r>
    </w:p>
    <w:p w:rsidR="009A0316" w:rsidRPr="009A1928" w:rsidRDefault="009A0316" w:rsidP="00437BB2">
      <w:pPr>
        <w:jc w:val="both"/>
      </w:pPr>
      <w:r w:rsidRPr="009A1928">
        <w:t xml:space="preserve">Artículo </w:t>
      </w:r>
      <w:r w:rsidR="00374580" w:rsidRPr="009A1928">
        <w:t>20 Coeficientes</w:t>
      </w:r>
      <w:r w:rsidRPr="009A1928">
        <w:t xml:space="preserve"> aplicables a las empresas autorizadas a colaborar voluntariamente en la gestión de la Seguridad Social </w:t>
      </w:r>
    </w:p>
    <w:p w:rsidR="009A0316" w:rsidRPr="009A1928" w:rsidRDefault="009A0316" w:rsidP="00437BB2">
      <w:pPr>
        <w:jc w:val="both"/>
      </w:pPr>
      <w:r w:rsidRPr="009A1928">
        <w:t xml:space="preserve">Artículo </w:t>
      </w:r>
      <w:r w:rsidR="00374580" w:rsidRPr="009A1928">
        <w:t>21 Aplicación</w:t>
      </w:r>
      <w:r w:rsidRPr="009A1928">
        <w:t xml:space="preserve"> de los coeficientes reductores </w:t>
      </w:r>
    </w:p>
    <w:p w:rsidR="009A0316" w:rsidRPr="009A1928" w:rsidRDefault="009A0316" w:rsidP="00437BB2">
      <w:pPr>
        <w:jc w:val="both"/>
      </w:pPr>
      <w:r w:rsidRPr="009A1928">
        <w:t xml:space="preserve">SECCIÓN 6.  Coeficientes aplicables para determinar la cotización en los supuestos de Convenio especial </w:t>
      </w:r>
    </w:p>
    <w:p w:rsidR="009A0316" w:rsidRPr="009A1928" w:rsidRDefault="009A0316" w:rsidP="00437BB2">
      <w:pPr>
        <w:jc w:val="both"/>
      </w:pPr>
      <w:r w:rsidRPr="009A1928">
        <w:t xml:space="preserve">Artículo </w:t>
      </w:r>
      <w:r w:rsidR="00374580" w:rsidRPr="009A1928">
        <w:t>22 Coeficientes</w:t>
      </w:r>
      <w:r w:rsidRPr="009A1928">
        <w:t xml:space="preserve"> aplicables </w:t>
      </w:r>
    </w:p>
    <w:p w:rsidR="009A0316" w:rsidRPr="009A1928" w:rsidRDefault="009A0316" w:rsidP="00437BB2">
      <w:pPr>
        <w:jc w:val="both"/>
      </w:pPr>
      <w:r w:rsidRPr="009A1928">
        <w:t xml:space="preserve">SECCIÓN 7.  Coeficiente aplicable para determinar la cotización en supuestos de subsidio por desempleo de nivel asistencial </w:t>
      </w:r>
    </w:p>
    <w:p w:rsidR="009A0316" w:rsidRPr="009A1928" w:rsidRDefault="009A0316" w:rsidP="00437BB2">
      <w:pPr>
        <w:jc w:val="both"/>
      </w:pPr>
      <w:r w:rsidRPr="009A1928">
        <w:t xml:space="preserve">Artículo </w:t>
      </w:r>
      <w:r w:rsidR="00374580" w:rsidRPr="009A1928">
        <w:t>23 Determinación</w:t>
      </w:r>
      <w:r w:rsidRPr="009A1928">
        <w:t xml:space="preserve"> del coeficiente </w:t>
      </w:r>
    </w:p>
    <w:p w:rsidR="009A0316" w:rsidRPr="009A1928" w:rsidRDefault="009A0316" w:rsidP="00437BB2">
      <w:pPr>
        <w:jc w:val="both"/>
      </w:pPr>
      <w:r w:rsidRPr="009A1928">
        <w:t xml:space="preserve">SECCIÓN 8.  Financiación de las funciones y actividades atribuidas a las mutuas colaboradoras con la Seguridad Social en relación con la cobertura de la prestación económica de incapacidad temporal </w:t>
      </w:r>
    </w:p>
    <w:p w:rsidR="009A0316" w:rsidRPr="009A1928" w:rsidRDefault="009A0316" w:rsidP="00437BB2">
      <w:pPr>
        <w:jc w:val="both"/>
      </w:pPr>
      <w:r w:rsidRPr="009A1928">
        <w:t xml:space="preserve">Artículo </w:t>
      </w:r>
      <w:r w:rsidR="00374580" w:rsidRPr="009A1928">
        <w:t>24 Determinación</w:t>
      </w:r>
      <w:r w:rsidRPr="009A1928">
        <w:t xml:space="preserve"> de la fracción de cuota </w:t>
      </w:r>
    </w:p>
    <w:p w:rsidR="009A0316" w:rsidRPr="009A1928" w:rsidRDefault="009A0316" w:rsidP="00437BB2">
      <w:pPr>
        <w:jc w:val="both"/>
      </w:pPr>
      <w:r w:rsidRPr="009A1928">
        <w:t xml:space="preserve">SECCIÓN 9.  Coeficientes aplicables para determinar las aportaciones a cargo de las mutuas colaboradoras con la Seguridad Social y empresas colaboradoras para el sostenimiento de los servicios comunes </w:t>
      </w:r>
    </w:p>
    <w:p w:rsidR="009A0316" w:rsidRPr="009A1928" w:rsidRDefault="009A0316" w:rsidP="00437BB2">
      <w:pPr>
        <w:jc w:val="both"/>
      </w:pPr>
      <w:r w:rsidRPr="009A1928">
        <w:t xml:space="preserve">Artículo </w:t>
      </w:r>
      <w:r w:rsidR="00374580" w:rsidRPr="009A1928">
        <w:t>25 Coeficientes</w:t>
      </w:r>
      <w:r w:rsidRPr="009A1928">
        <w:t xml:space="preserve"> aplicables </w:t>
      </w:r>
    </w:p>
    <w:p w:rsidR="009A0316" w:rsidRPr="009A1928" w:rsidRDefault="009A0316" w:rsidP="00437BB2">
      <w:pPr>
        <w:jc w:val="both"/>
      </w:pPr>
      <w:r w:rsidRPr="009A1928">
        <w:t xml:space="preserve">SECCIÓN 10.  Cotización a la Seguridad Social en supuestos especiales </w:t>
      </w:r>
    </w:p>
    <w:p w:rsidR="009A0316" w:rsidRPr="009A1928" w:rsidRDefault="009A0316" w:rsidP="00437BB2">
      <w:pPr>
        <w:jc w:val="both"/>
      </w:pPr>
      <w:r w:rsidRPr="009A1928">
        <w:t xml:space="preserve">Artículo </w:t>
      </w:r>
      <w:r w:rsidR="00374580" w:rsidRPr="009A1928">
        <w:t>26 Incremento</w:t>
      </w:r>
      <w:r w:rsidRPr="009A1928">
        <w:t xml:space="preserve"> en la cuota empresarial por contingencias comunes en los contratos temporales de corta duración </w:t>
      </w:r>
    </w:p>
    <w:p w:rsidR="009A0316" w:rsidRPr="009A1928" w:rsidRDefault="009A0316" w:rsidP="00437BB2">
      <w:pPr>
        <w:jc w:val="both"/>
      </w:pPr>
      <w:r w:rsidRPr="009A1928">
        <w:t xml:space="preserve">Artículo </w:t>
      </w:r>
      <w:r w:rsidR="00374580" w:rsidRPr="009A1928">
        <w:t>27 Cotización</w:t>
      </w:r>
      <w:r w:rsidRPr="009A1928">
        <w:t xml:space="preserve"> en los supuestos de abono de salarios con carácter retroactivo </w:t>
      </w:r>
    </w:p>
    <w:p w:rsidR="009A0316" w:rsidRPr="009A1928" w:rsidRDefault="009A0316" w:rsidP="00437BB2">
      <w:pPr>
        <w:jc w:val="both"/>
      </w:pPr>
      <w:r w:rsidRPr="009A1928">
        <w:t xml:space="preserve">Artículo </w:t>
      </w:r>
      <w:r w:rsidR="00374580" w:rsidRPr="009A1928">
        <w:t>28 Cotización</w:t>
      </w:r>
      <w:r w:rsidRPr="009A1928">
        <w:t xml:space="preserve"> por percepciones correspondientes a vacaciones devengadas y no disfrutadas </w:t>
      </w:r>
    </w:p>
    <w:p w:rsidR="009A0316" w:rsidRPr="009A1928" w:rsidRDefault="009A0316" w:rsidP="00437BB2">
      <w:pPr>
        <w:jc w:val="both"/>
      </w:pPr>
      <w:r w:rsidRPr="009A1928">
        <w:t xml:space="preserve">Artículo </w:t>
      </w:r>
      <w:r w:rsidR="00374580" w:rsidRPr="009A1928">
        <w:t>29 Cotización</w:t>
      </w:r>
      <w:r w:rsidRPr="009A1928">
        <w:t xml:space="preserve"> por los salarios de tramitación </w:t>
      </w:r>
    </w:p>
    <w:p w:rsidR="009A0316" w:rsidRPr="009A1928" w:rsidRDefault="009A0316" w:rsidP="00437BB2">
      <w:pPr>
        <w:jc w:val="both"/>
      </w:pPr>
      <w:r w:rsidRPr="009A1928">
        <w:t xml:space="preserve">Artículo </w:t>
      </w:r>
      <w:r w:rsidR="00374580" w:rsidRPr="009A1928">
        <w:t>30 Tipo</w:t>
      </w:r>
      <w:r w:rsidRPr="009A1928">
        <w:t xml:space="preserve"> de cotización en supuestos especiales </w:t>
      </w:r>
    </w:p>
    <w:p w:rsidR="009A0316" w:rsidRPr="009A1928" w:rsidRDefault="009A0316" w:rsidP="00437BB2">
      <w:pPr>
        <w:jc w:val="both"/>
      </w:pPr>
      <w:r w:rsidRPr="009A1928">
        <w:t xml:space="preserve">Artículo </w:t>
      </w:r>
      <w:r w:rsidR="00374580" w:rsidRPr="009A1928">
        <w:t>31 Reducción</w:t>
      </w:r>
      <w:r w:rsidRPr="009A1928">
        <w:t xml:space="preserve"> de cotizaciones por contingencias profesionales. Valores límite y volumen de cotización aplicables al ejercicio 2018 </w:t>
      </w:r>
    </w:p>
    <w:p w:rsidR="009A0316" w:rsidRPr="009A1928" w:rsidRDefault="009A0316" w:rsidP="00437BB2">
      <w:pPr>
        <w:jc w:val="both"/>
      </w:pPr>
      <w:r w:rsidRPr="009A1928">
        <w:t xml:space="preserve">CAPÍTULO II.  Cotización por desempleo, Fondo de Garantía Salarial, formación profesional y por cese de actividad y durante la situación de incapacidad temporal transcurridos 60 días de los trabajadores autónomos </w:t>
      </w:r>
    </w:p>
    <w:p w:rsidR="009A0316" w:rsidRPr="009A1928" w:rsidRDefault="009A0316" w:rsidP="00437BB2">
      <w:pPr>
        <w:jc w:val="both"/>
      </w:pPr>
      <w:r w:rsidRPr="009A1928">
        <w:t xml:space="preserve">Artículo </w:t>
      </w:r>
      <w:r w:rsidR="00374580" w:rsidRPr="009A1928">
        <w:t>32 Bases</w:t>
      </w:r>
      <w:r w:rsidRPr="009A1928">
        <w:t xml:space="preserve"> y tipos de cotización por desempleo, Fondo de Garantía Salarial y formación profesional de los trabajadores por cuenta ajena </w:t>
      </w:r>
    </w:p>
    <w:p w:rsidR="009A0316" w:rsidRPr="009A1928" w:rsidRDefault="009A0316" w:rsidP="00437BB2">
      <w:pPr>
        <w:jc w:val="both"/>
      </w:pPr>
      <w:r w:rsidRPr="009A1928">
        <w:t xml:space="preserve">Artículo </w:t>
      </w:r>
      <w:r w:rsidR="00374580" w:rsidRPr="009A1928">
        <w:t>33 Bases</w:t>
      </w:r>
      <w:r w:rsidRPr="009A1928">
        <w:t xml:space="preserve"> y tipos de cotización por desempleo, Fondo de Garantía Salarial y formación profesional en el Sistema Especial para Trabajadores por Cuenta Ajena Agrarios establecido en el Régimen General de la Seguridad Social </w:t>
      </w:r>
    </w:p>
    <w:p w:rsidR="009A0316" w:rsidRPr="009A1928" w:rsidRDefault="009A0316" w:rsidP="00437BB2">
      <w:pPr>
        <w:jc w:val="both"/>
      </w:pPr>
      <w:r w:rsidRPr="009A1928">
        <w:t xml:space="preserve">Artículo </w:t>
      </w:r>
      <w:r w:rsidR="00374580" w:rsidRPr="009A1928">
        <w:t>34 Normas</w:t>
      </w:r>
      <w:r w:rsidRPr="009A1928">
        <w:t xml:space="preserve"> aplicables para la cotización por desempleo en el Régimen Especial de la Seguridad Social de los Trabajadores del Mar </w:t>
      </w:r>
    </w:p>
    <w:p w:rsidR="009A0316" w:rsidRPr="009A1928" w:rsidRDefault="009A0316" w:rsidP="00437BB2">
      <w:pPr>
        <w:jc w:val="both"/>
      </w:pPr>
      <w:r w:rsidRPr="009A1928">
        <w:t xml:space="preserve">Artículo </w:t>
      </w:r>
      <w:r w:rsidR="00374580" w:rsidRPr="009A1928">
        <w:t>35 Bases</w:t>
      </w:r>
      <w:r w:rsidRPr="009A1928">
        <w:t xml:space="preserve"> y tipos de cotización por formación profesional, por cese de actividad, y durante la situación de incapacidad temporal transcurridos 60 días de los trabajadores autónomos </w:t>
      </w:r>
    </w:p>
    <w:p w:rsidR="009A0316" w:rsidRPr="009A1928" w:rsidRDefault="009A0316" w:rsidP="00437BB2">
      <w:pPr>
        <w:jc w:val="both"/>
      </w:pPr>
      <w:r w:rsidRPr="009A1928">
        <w:t xml:space="preserve">CAPÍTULO III.  Cotización en los supuestos de contratos a tiempo parcial </w:t>
      </w:r>
    </w:p>
    <w:p w:rsidR="009A0316" w:rsidRPr="009A1928" w:rsidRDefault="009A0316" w:rsidP="00437BB2">
      <w:pPr>
        <w:jc w:val="both"/>
      </w:pPr>
      <w:r w:rsidRPr="009A1928">
        <w:t xml:space="preserve">Artículo </w:t>
      </w:r>
      <w:r w:rsidR="00374580" w:rsidRPr="009A1928">
        <w:t>36 Bases</w:t>
      </w:r>
      <w:r w:rsidRPr="009A1928">
        <w:t xml:space="preserve"> de cotización </w:t>
      </w:r>
    </w:p>
    <w:p w:rsidR="009A0316" w:rsidRPr="009A1928" w:rsidRDefault="009A0316" w:rsidP="00437BB2">
      <w:pPr>
        <w:jc w:val="both"/>
      </w:pPr>
      <w:r w:rsidRPr="009A1928">
        <w:t xml:space="preserve">Artículo </w:t>
      </w:r>
      <w:r w:rsidR="00374580" w:rsidRPr="009A1928">
        <w:t>37 Bases</w:t>
      </w:r>
      <w:r w:rsidRPr="009A1928">
        <w:t xml:space="preserve"> mínimas de cotización por contingencias comunes </w:t>
      </w:r>
    </w:p>
    <w:p w:rsidR="009A0316" w:rsidRPr="009A1928" w:rsidRDefault="009A0316" w:rsidP="00437BB2">
      <w:pPr>
        <w:jc w:val="both"/>
      </w:pPr>
      <w:r w:rsidRPr="009A1928">
        <w:t xml:space="preserve">Artículo </w:t>
      </w:r>
      <w:r w:rsidR="00374580" w:rsidRPr="009A1928">
        <w:t>38 Cotización</w:t>
      </w:r>
      <w:r w:rsidRPr="009A1928">
        <w:t xml:space="preserve"> en los supuestos de incapacidad temporal, riesgo durante el embarazo, riesgo durante la lactancia natural y maternidad o paternidad </w:t>
      </w:r>
    </w:p>
    <w:p w:rsidR="009A0316" w:rsidRPr="009A1928" w:rsidRDefault="009A0316" w:rsidP="00437BB2">
      <w:pPr>
        <w:jc w:val="both"/>
      </w:pPr>
      <w:r w:rsidRPr="009A1928">
        <w:t xml:space="preserve">Artículo </w:t>
      </w:r>
      <w:r w:rsidR="00374580" w:rsidRPr="009A1928">
        <w:t>39 Cotización</w:t>
      </w:r>
      <w:r w:rsidRPr="009A1928">
        <w:t xml:space="preserve"> en la situación de pluriempleo </w:t>
      </w:r>
    </w:p>
    <w:p w:rsidR="009A0316" w:rsidRPr="009A1928" w:rsidRDefault="009A0316" w:rsidP="00437BB2">
      <w:pPr>
        <w:jc w:val="both"/>
      </w:pPr>
      <w:r w:rsidRPr="009A1928">
        <w:t xml:space="preserve">Artículo </w:t>
      </w:r>
      <w:r w:rsidR="00374580" w:rsidRPr="009A1928">
        <w:t>40 Cotización</w:t>
      </w:r>
      <w:r w:rsidRPr="009A1928">
        <w:t xml:space="preserve"> en los supuestos de trabajo concentrado en períodos inferiores a los de alta </w:t>
      </w:r>
    </w:p>
    <w:p w:rsidR="009A0316" w:rsidRPr="009A1928" w:rsidRDefault="009A0316" w:rsidP="00437BB2">
      <w:pPr>
        <w:jc w:val="both"/>
      </w:pPr>
      <w:r w:rsidRPr="009A1928">
        <w:t xml:space="preserve">Artículo </w:t>
      </w:r>
      <w:r w:rsidR="00374580" w:rsidRPr="009A1928">
        <w:t>41 Base</w:t>
      </w:r>
      <w:r w:rsidRPr="009A1928">
        <w:t xml:space="preserve"> mínima de cotización respecto de los socios de cooperativas de trabajo asociado, en los supuestos de contrato a tiempo parcial </w:t>
      </w:r>
    </w:p>
    <w:p w:rsidR="009A0316" w:rsidRPr="009A1928" w:rsidRDefault="009A0316" w:rsidP="00437BB2">
      <w:pPr>
        <w:jc w:val="both"/>
      </w:pPr>
      <w:r w:rsidRPr="009A1928">
        <w:t xml:space="preserve">Artículo </w:t>
      </w:r>
      <w:r w:rsidR="00374580" w:rsidRPr="009A1928">
        <w:t>42 Cotización</w:t>
      </w:r>
      <w:r w:rsidRPr="009A1928">
        <w:t xml:space="preserve"> en el Sistema Especial para Trabajadores por Cuenta Ajena Agrarios establecido en el Régimen General de la Seguridad Social </w:t>
      </w:r>
    </w:p>
    <w:p w:rsidR="009A0316" w:rsidRPr="009A1928" w:rsidRDefault="009A0316" w:rsidP="00437BB2">
      <w:pPr>
        <w:jc w:val="both"/>
      </w:pPr>
      <w:r w:rsidRPr="009A1928">
        <w:t xml:space="preserve">Artículo </w:t>
      </w:r>
      <w:r w:rsidR="00374580" w:rsidRPr="009A1928">
        <w:t>43 Cotización</w:t>
      </w:r>
      <w:r w:rsidRPr="009A1928">
        <w:t xml:space="preserve"> en los supuestos de guarda legal o cuidado directo de un familiar </w:t>
      </w:r>
    </w:p>
    <w:p w:rsidR="009A0316" w:rsidRPr="009A1928" w:rsidRDefault="009A0316" w:rsidP="00437BB2">
      <w:pPr>
        <w:jc w:val="both"/>
      </w:pPr>
      <w:r w:rsidRPr="009A1928">
        <w:t xml:space="preserve">CAPÍTULO IV.  Cotización en los contratos para la formación y el aprendizaje </w:t>
      </w:r>
    </w:p>
    <w:p w:rsidR="009A0316" w:rsidRPr="009A1928" w:rsidRDefault="009A0316" w:rsidP="00437BB2">
      <w:pPr>
        <w:jc w:val="both"/>
      </w:pPr>
      <w:r w:rsidRPr="009A1928">
        <w:t xml:space="preserve">Artículo </w:t>
      </w:r>
      <w:r w:rsidR="00374580" w:rsidRPr="009A1928">
        <w:t>44 Determinación</w:t>
      </w:r>
      <w:r w:rsidRPr="009A1928">
        <w:t xml:space="preserve"> de las cuotas </w:t>
      </w:r>
    </w:p>
    <w:p w:rsidR="009A0316" w:rsidRPr="009A1928" w:rsidRDefault="009A0316" w:rsidP="00437BB2">
      <w:pPr>
        <w:jc w:val="both"/>
      </w:pPr>
      <w:r w:rsidRPr="009A1928">
        <w:t xml:space="preserve">DISPOSICIONES ADICIONALES </w:t>
      </w:r>
    </w:p>
    <w:p w:rsidR="009A0316" w:rsidRPr="009A1928" w:rsidRDefault="009A0316" w:rsidP="00437BB2">
      <w:pPr>
        <w:jc w:val="both"/>
      </w:pPr>
      <w:r w:rsidRPr="009A1928">
        <w:t xml:space="preserve">Disposición adicional </w:t>
      </w:r>
      <w:r w:rsidR="00374580" w:rsidRPr="009A1928">
        <w:t>primera Cotización</w:t>
      </w:r>
      <w:r w:rsidRPr="009A1928">
        <w:t xml:space="preserve"> por contingencias profesionales en los supuestos de suspensión de la relación laboral </w:t>
      </w:r>
    </w:p>
    <w:p w:rsidR="009A0316" w:rsidRPr="009A1928" w:rsidRDefault="009A0316" w:rsidP="00437BB2">
      <w:pPr>
        <w:jc w:val="both"/>
      </w:pPr>
      <w:r w:rsidRPr="009A1928">
        <w:t xml:space="preserve">Disposición adicional </w:t>
      </w:r>
      <w:r w:rsidR="00374580" w:rsidRPr="009A1928">
        <w:t>segunda Cotización</w:t>
      </w:r>
      <w:r w:rsidRPr="009A1928">
        <w:t xml:space="preserve"> por contingencias profesionales de los trabajadores desempleados que realicen trabajos de colaboración social </w:t>
      </w:r>
    </w:p>
    <w:p w:rsidR="009A0316" w:rsidRPr="009A1928" w:rsidRDefault="009A0316" w:rsidP="00437BB2">
      <w:pPr>
        <w:jc w:val="both"/>
      </w:pPr>
      <w:r w:rsidRPr="009A1928">
        <w:t xml:space="preserve">Disposición adicional </w:t>
      </w:r>
      <w:r w:rsidR="00374580" w:rsidRPr="009A1928">
        <w:t>tercera Cotización</w:t>
      </w:r>
      <w:r w:rsidRPr="009A1928">
        <w:t xml:space="preserve"> durante la percepción de las prestaciones por desempleo por parte de las víctimas de violencia de género </w:t>
      </w:r>
    </w:p>
    <w:p w:rsidR="009A0316" w:rsidRPr="009A1928" w:rsidRDefault="009A0316" w:rsidP="00437BB2">
      <w:pPr>
        <w:jc w:val="both"/>
      </w:pPr>
      <w:r w:rsidRPr="009A1928">
        <w:t xml:space="preserve">Disposición adicional </w:t>
      </w:r>
      <w:r w:rsidR="00374580" w:rsidRPr="009A1928">
        <w:t>cuarta Cotización</w:t>
      </w:r>
      <w:r w:rsidRPr="009A1928">
        <w:t xml:space="preserve"> de los empleados públicos encuadrados en el Régimen General de la Seguridad Social </w:t>
      </w:r>
    </w:p>
    <w:p w:rsidR="009A0316" w:rsidRPr="009A1928" w:rsidRDefault="009A0316" w:rsidP="00437BB2">
      <w:pPr>
        <w:jc w:val="both"/>
      </w:pPr>
      <w:r w:rsidRPr="009A1928">
        <w:t xml:space="preserve">Disposición adicional </w:t>
      </w:r>
      <w:r w:rsidR="00374580" w:rsidRPr="009A1928">
        <w:t>quinta Cotización</w:t>
      </w:r>
      <w:r w:rsidRPr="009A1928">
        <w:t xml:space="preserve"> por contingencias profesionales de las personas sometidas a penas de trabajo en beneficio de la comunidad </w:t>
      </w:r>
    </w:p>
    <w:p w:rsidR="009A0316" w:rsidRPr="009A1928" w:rsidRDefault="009A0316" w:rsidP="00437BB2">
      <w:pPr>
        <w:jc w:val="both"/>
      </w:pPr>
      <w:r w:rsidRPr="009A1928">
        <w:t xml:space="preserve">DISPOSICIONES TRANSITORIAS </w:t>
      </w:r>
    </w:p>
    <w:p w:rsidR="009A0316" w:rsidRPr="009A1928" w:rsidRDefault="009A0316" w:rsidP="00437BB2">
      <w:pPr>
        <w:jc w:val="both"/>
      </w:pPr>
      <w:r w:rsidRPr="009A1928">
        <w:t xml:space="preserve">Disposición transitoria </w:t>
      </w:r>
      <w:r w:rsidR="00374580" w:rsidRPr="009A1928">
        <w:t>primera Opción</w:t>
      </w:r>
      <w:r w:rsidRPr="009A1928">
        <w:t xml:space="preserve"> de bases de cotización, en determinados supuestos, en el Régimen Especial de Trabajadores por Cuenta Propia o Autónomos </w:t>
      </w:r>
    </w:p>
    <w:p w:rsidR="009A0316" w:rsidRPr="009A1928" w:rsidRDefault="009A0316" w:rsidP="00437BB2">
      <w:pPr>
        <w:jc w:val="both"/>
      </w:pPr>
      <w:r w:rsidRPr="009A1928">
        <w:t xml:space="preserve">Disposición transitoria </w:t>
      </w:r>
      <w:r w:rsidR="00374580" w:rsidRPr="009A1928">
        <w:t>segunda Ingreso</w:t>
      </w:r>
      <w:r w:rsidRPr="009A1928">
        <w:t xml:space="preserve"> de diferencias de cotización </w:t>
      </w:r>
    </w:p>
    <w:p w:rsidR="009A0316" w:rsidRPr="009A1928" w:rsidRDefault="009A0316" w:rsidP="00437BB2">
      <w:pPr>
        <w:jc w:val="both"/>
      </w:pPr>
      <w:r w:rsidRPr="009A1928">
        <w:t xml:space="preserve">Disposición transitoria </w:t>
      </w:r>
      <w:r w:rsidR="00374580" w:rsidRPr="009A1928">
        <w:t>tercera Determinación</w:t>
      </w:r>
      <w:r w:rsidRPr="009A1928">
        <w:t xml:space="preserve"> provisional de las bases de cotización aplicables en el Régimen Especial de la Seguridad Social para la Minería del Carbón </w:t>
      </w:r>
    </w:p>
    <w:p w:rsidR="009A0316" w:rsidRPr="009A1928" w:rsidRDefault="009A0316" w:rsidP="00437BB2">
      <w:pPr>
        <w:jc w:val="both"/>
      </w:pPr>
      <w:r w:rsidRPr="009A1928">
        <w:t xml:space="preserve">DISPOSICIONES FINALES </w:t>
      </w:r>
    </w:p>
    <w:p w:rsidR="009A0316" w:rsidRPr="009A1928" w:rsidRDefault="009A0316" w:rsidP="00437BB2">
      <w:pPr>
        <w:jc w:val="both"/>
      </w:pPr>
      <w:r w:rsidRPr="009A1928">
        <w:t xml:space="preserve">Disposición final </w:t>
      </w:r>
      <w:r w:rsidR="00374580" w:rsidRPr="009A1928">
        <w:t>primera Título</w:t>
      </w:r>
      <w:r w:rsidRPr="009A1928">
        <w:t xml:space="preserve"> competencial </w:t>
      </w:r>
    </w:p>
    <w:p w:rsidR="009A0316" w:rsidRPr="009A1928" w:rsidRDefault="009A0316" w:rsidP="00437BB2">
      <w:pPr>
        <w:jc w:val="both"/>
      </w:pPr>
      <w:r w:rsidRPr="009A1928">
        <w:t xml:space="preserve">Disposición final </w:t>
      </w:r>
      <w:r w:rsidR="00374580" w:rsidRPr="009A1928">
        <w:t>segunda Aplicación</w:t>
      </w:r>
      <w:r w:rsidRPr="009A1928">
        <w:t xml:space="preserve"> de la norma </w:t>
      </w:r>
    </w:p>
    <w:p w:rsidR="009A0316" w:rsidRPr="009A1928" w:rsidRDefault="009A0316" w:rsidP="00437BB2">
      <w:pPr>
        <w:jc w:val="both"/>
      </w:pPr>
      <w:r w:rsidRPr="009A1928">
        <w:t xml:space="preserve">Disposición final </w:t>
      </w:r>
      <w:r w:rsidR="00374580" w:rsidRPr="009A1928">
        <w:t>tercera Entrada</w:t>
      </w:r>
      <w:r w:rsidRPr="009A1928">
        <w:t xml:space="preserve"> en vigor </w:t>
      </w:r>
    </w:p>
    <w:p w:rsidR="009A0316" w:rsidRPr="009A1928" w:rsidRDefault="00374580" w:rsidP="00437BB2">
      <w:pPr>
        <w:jc w:val="both"/>
      </w:pPr>
      <w:r w:rsidRPr="009A1928">
        <w:t>ANEXO.</w:t>
      </w:r>
      <w:r w:rsidR="009A0316" w:rsidRPr="009A1928">
        <w:t xml:space="preserve"> Valores límite de los índices de siniestralidad general y de siniestralidad extrema para el ejercicio 2018 </w:t>
      </w:r>
    </w:p>
    <w:p w:rsidR="009A0316" w:rsidRPr="009A1928" w:rsidRDefault="009A0316" w:rsidP="00437BB2">
      <w:pPr>
        <w:jc w:val="both"/>
      </w:pPr>
      <w:r w:rsidRPr="009A1928">
        <w:t>De conformidad con lo dispuesto en el artículo 19.1 del texto refundido de la Ley General de la Seguridad Social, aprobado por el Real Decreto Legislativo 8/2015, de 30 de octubre, el artículo 130 de la Ley 6/2018, de 3 de julio, de Presupuestos Generales del Estado para el año 2018, estableció las bases y tipos de cotización a la Seguridad Social, desempleo, cese de actividad de los trabajadores autónomos, Fondo de Garantía Salarial y formación profesional para el ejercicio 2018, facultando en su apartado diecisiete a la Ministra de Empleo y Seguridad Social –actual Ministra de Trabajo, Migraciones y Seguridad Social– para dictar las normas necesarias para la aplicación y desarrollo de lo previsto en el citado artículo.</w:t>
      </w:r>
    </w:p>
    <w:p w:rsidR="009A0316" w:rsidRPr="009A1928" w:rsidRDefault="009A0316" w:rsidP="00437BB2">
      <w:pPr>
        <w:jc w:val="both"/>
      </w:pPr>
      <w:r w:rsidRPr="009A1928">
        <w:t>Al haber quedado prorrogados de forma automática los Presupuestos Generales del Estado para el año 2018, en virtud de lo dispuesto en el artículo 134.4 de la Constitución Española, procede mantener en sus propios términos las normas de cotización previstas en el citado artículo 130, hasta tanto se aprueben los presupuestos correspondientes al año 2019, si bien con la necesaria adaptación a las modificaciones normativas que, con posterioridad a la publicación de la Ley 6/2018, de 3 de julio, han incidido en este ámbito.</w:t>
      </w:r>
    </w:p>
    <w:p w:rsidR="009A0316" w:rsidRPr="009A1928" w:rsidRDefault="009A0316" w:rsidP="00437BB2">
      <w:pPr>
        <w:jc w:val="both"/>
      </w:pPr>
      <w:r w:rsidRPr="009A1928">
        <w:t>Siguiendo en este sentido el orden temporal en la publicación de las mismas, cabe citar en primer lugar al Real Decreto 1462/2018, de 21 de diciembre, por el que se fija el salario mínimo interprofesional para 2019, mediante el que se incrementa su cuantía en un 22,3 por ciento.</w:t>
      </w:r>
    </w:p>
    <w:p w:rsidR="009A0316" w:rsidRPr="009A1928" w:rsidRDefault="009A0316" w:rsidP="00437BB2">
      <w:pPr>
        <w:jc w:val="both"/>
      </w:pPr>
      <w:r w:rsidRPr="009A1928">
        <w:t>Ello va a determinar, conforme establece el artículo 19.2 del texto refundido de la Ley General de la Seguridad Social, que a partir del 1 de enero de 2019 el tope mínimo de las bases de cotización aplicable a todos los regímenes del sistema se incremente hasta la cuantía del salario mínimo interprofesional vigente en dicho ejercicio, incrementada en un sexto, salvo disposición expresa en contrario.</w:t>
      </w:r>
    </w:p>
    <w:p w:rsidR="009A0316" w:rsidRPr="009A1928" w:rsidRDefault="009A0316" w:rsidP="00437BB2">
      <w:pPr>
        <w:jc w:val="both"/>
      </w:pPr>
      <w:r w:rsidRPr="009A1928">
        <w:t xml:space="preserve">En segundo </w:t>
      </w:r>
      <w:r w:rsidR="00374580" w:rsidRPr="009A1928">
        <w:t>lugar,</w:t>
      </w:r>
      <w:r w:rsidRPr="009A1928">
        <w:t xml:space="preserve"> el Real Decreto-ley 28/2018, de 28 de diciembre, para la revalorización de las pensiones públicas y otras medidas urgentes en materia social, laboral y de empleo, que ha introducido diversas modificaciones que afectan al ámbito de la cotización en el sistema de la Seguridad Social.</w:t>
      </w:r>
    </w:p>
    <w:p w:rsidR="009A0316" w:rsidRPr="009A1928" w:rsidRDefault="009A0316" w:rsidP="00437BB2">
      <w:pPr>
        <w:jc w:val="both"/>
      </w:pPr>
      <w:r w:rsidRPr="009A1928">
        <w:t>Así, y a modo de ejemplo, se dispone la elevación en un 7 por ciento de la cuantía del tope máximo y de las bases máximas de cotización durante el año 2019 o la ampliación del ámbito de protección del Régimen Especial de la Seguridad Social de los Trabajadores por Cuenta Propia o Autónomos, con la consiguiente reordenación de los tipos de cotización aplicables. En este régimen, el incremento de las bases mínimas de cotización es del 1,25 por ciento, es decir, un porcentaje mucho más reducido que el aplicado al resto de las bases mínimas de los regímenes del sistema. La razón se encuentra en los acuerdos a los que se ha llegado al respecto con las entidades más representativas de este colectivo en tanto se proceda a modificar el modo de cotizar en este régimen especial, que va a pasar de un sistema de elección de bases por los interesados a su determinación por el importe de los ingresos realmente percibidos, como ocurre en el Régimen General de la Seguridad Social.</w:t>
      </w:r>
    </w:p>
    <w:p w:rsidR="009A0316" w:rsidRPr="009A1928" w:rsidRDefault="009A0316" w:rsidP="00437BB2">
      <w:pPr>
        <w:jc w:val="both"/>
      </w:pPr>
      <w:r w:rsidRPr="009A1928">
        <w:t>También se modifican los tipos de cotización aplicables a los trabajadores autónomos del Régimen Especial de la Seguridad Social de los Trabajadores del Mar, y se actualizan las bases y tipos de cotización tanto en los Sistemas Especiales para Empleados de Hogar y para Trabajadores por Cuenta Ajena Agrarios, establecidos ambos en el Régimen General de la Seguridad Social, y en el Sistema Especial para Trabajadores por Cuenta Propia Agrarios, establecido en el Régimen Especial de la Seguridad Social de los Trabajadores por Cuenta Propia o Autónomos.</w:t>
      </w:r>
    </w:p>
    <w:p w:rsidR="009A0316" w:rsidRPr="009A1928" w:rsidRDefault="009A0316" w:rsidP="00437BB2">
      <w:pPr>
        <w:jc w:val="both"/>
      </w:pPr>
      <w:r w:rsidRPr="009A1928">
        <w:t>La norma legal extiende también a los trabajadores autónomos agrarios los beneficios en la cotización previstos en la tarifa plana de los trabajadores por cuenta propia; modifica la cotización en el Sistema Especial para manipulado y empaquetado del tomate fresco con destino a la exportación, y modifica también la disposición adicional cuarta de la Ley 42/2006, de 28 de diciembre, de Presupuestos Generales del Estado para 2007, por la que se fija la tarifa para la cotización por accidentes de trabajo y enfermedades profesionales y se establecen reglas para su aplicación, entre otras novedades introducidas.</w:t>
      </w:r>
    </w:p>
    <w:p w:rsidR="009A0316" w:rsidRPr="009A1928" w:rsidRDefault="009A0316" w:rsidP="00437BB2">
      <w:pPr>
        <w:jc w:val="both"/>
      </w:pPr>
      <w:r w:rsidRPr="009A1928">
        <w:t>Por último, debe citarse al Real Decreto-ley 26/2018, de 28 de diciembre, por el que se aprueban medidas de urgencia sobre la creación artística y la cinematografía, por el que se establece la posibilidad de que los artistas en espectáculos públicos puedan continuar incluidos en el Régimen General de la Seguridad Social durante sus periodos de inactividad, efectuándose durante esta situación una cotización en los términos previstos en la norma.</w:t>
      </w:r>
    </w:p>
    <w:p w:rsidR="009A0316" w:rsidRPr="009A1928" w:rsidRDefault="009A0316" w:rsidP="00437BB2">
      <w:pPr>
        <w:jc w:val="both"/>
      </w:pPr>
      <w:r w:rsidRPr="009A1928">
        <w:t>A esta finalidad responde esta orden, mediante la cual se desarrollan las previsiones legales en materia de cotizaciones sociales para el ejercicio 2019. A través de ella no solo se reproducen las bases y tipos de cotización reflejados en los textos legales citados, sino que, en desarrollo de las facultades atribuidas por el artículo 148 del texto refundido de la Ley General de la Seguridad Social, se adaptan las bases de cotización establecidas con carácter general a los supuestos de contratos a tiempo parcial.</w:t>
      </w:r>
    </w:p>
    <w:p w:rsidR="009A0316" w:rsidRPr="009A1928" w:rsidRDefault="009A0316" w:rsidP="00437BB2">
      <w:pPr>
        <w:jc w:val="both"/>
      </w:pPr>
      <w:r w:rsidRPr="009A1928">
        <w:t>A su vez, y de conformidad con lo dispuesto en el Reglamento general sobre cotización y liquidación de otros derechos de la Seguridad Social, aprobado por el Real Decreto 2064/1995, de 22 de diciembre, en esta orden se fijan los coeficientes aplicables para determinar la cotización a la Seguridad Social en supuestos específicos, como son los de convenio especial, colaboración en la gestión de la Seguridad Social o exclusión de alguna contingencia.</w:t>
      </w:r>
    </w:p>
    <w:p w:rsidR="009A0316" w:rsidRPr="009A1928" w:rsidRDefault="009A0316" w:rsidP="00437BB2">
      <w:pPr>
        <w:jc w:val="both"/>
      </w:pPr>
      <w:r w:rsidRPr="009A1928">
        <w:t>También se establecen los coeficientes para la determinación de las aportaciones a cargo de las mutuas colaboradoras con la Seguridad Social al sostenimiento de los servicios comunes de la Seguridad Social, aportaciones mediante las que se garantiza el mantenimiento del equilibrio financiero entre las entidades colaboradoras señaladas y la Administración de la Seguridad Social, así como los valores límite de los índices de siniestralidad general y de siniestralidad extrema, correspondientes al ejercicio 2018, y el volumen de cotización por contingencias profesionales a alcanzar durante el período de observación, para el cálculo del incentivo previsto en el Real Decreto 231/2017, de 10 de marzo, por el que se regula el establecimiento de un sistema de reducción de las cotizaciones por contingencias profesionales a las empresas que hayan disminuido de manera considerable la siniestralidad laboral.</w:t>
      </w:r>
    </w:p>
    <w:p w:rsidR="009A0316" w:rsidRPr="009A1928" w:rsidRDefault="009A0316" w:rsidP="00437BB2">
      <w:pPr>
        <w:jc w:val="both"/>
      </w:pPr>
      <w:r w:rsidRPr="009A1928">
        <w:t>Cabe señalar que en esta orden se da cumplimiento a los principios de buena regulación a los que se refiere el artículo 129 de la Ley 39/2015, de 1 de octubre, del Procedimiento Administrativo Común de las Administraciones Públicas. Así, la norma es respetuosa con los principios de necesidad, eficacia y proporcionalidad en tanto que con ella se consigue el fin perseguido, el establecimiento del tope máximo y mínimo, y de las bases máximas y mínimas de cotización a los distintos regímenes de la Seguridad Social, así como el desarrollo de las normas de cotización para el ejercicio 2019, no tratándose de una norma restrictiva de derechos o que imponga obligaciones a los interesados.</w:t>
      </w:r>
    </w:p>
    <w:p w:rsidR="009A0316" w:rsidRPr="009A1928" w:rsidRDefault="009A0316" w:rsidP="00437BB2">
      <w:pPr>
        <w:jc w:val="both"/>
      </w:pPr>
      <w:r w:rsidRPr="009A1928">
        <w:t>Asimismo, la iniciativa es coherente con el resto del ordenamiento jurídico tanto nacional como de la Unión Europea, sus objetivos se encuentran claramente definidos y no impone nuevas cargas administrativas, cumpliendo así los principios de seguridad jurídica, transparencia y eficiencia.</w:t>
      </w:r>
    </w:p>
    <w:p w:rsidR="009A0316" w:rsidRPr="009A1928" w:rsidRDefault="009A0316" w:rsidP="00437BB2">
      <w:pPr>
        <w:jc w:val="both"/>
      </w:pPr>
      <w:r w:rsidRPr="009A1928">
        <w:t>En su proceso de tramitación, de conformidad con lo dispuesto en el artículo 26.6 de la Ley 50/1997, de 27 de noviembre, del Gobierno, esta orden se ha sometido al trámite de audiencia e información pública a través de su publicación en el portal web del Ministerio de Trabajo, Migraciones y Seguridad Social y de la consulta directa a los agentes sociales.</w:t>
      </w:r>
    </w:p>
    <w:p w:rsidR="009A0316" w:rsidRPr="009A1928" w:rsidRDefault="009A0316" w:rsidP="00437BB2">
      <w:pPr>
        <w:jc w:val="both"/>
      </w:pPr>
      <w:r w:rsidRPr="009A1928">
        <w:t>La orden se dicta en uso de las atribuciones conferidas a la Ministra de Trabajo, Migraciones y Seguridad Social en el artículo 130, apartado diecisiete, de la Ley 6/2018, de 3 de julio, de Presupuestos Generales del Estado para el año 2018, el artículo 5.2.b) del texto refundido de la Ley General de la Seguridad Social, y en la disposición final única del Reglamento general sobre cotización y liquidación de otros derechos de la Seguridad Social, y al amparo de lo dispuesto en el artículo 149.1.17.ª de la Constitución, que atribuye al Estado la competencia en materia de régimen económico de la Seguridad Social.</w:t>
      </w:r>
    </w:p>
    <w:p w:rsidR="009A0316" w:rsidRPr="009A1928" w:rsidRDefault="009A0316" w:rsidP="00437BB2">
      <w:pPr>
        <w:jc w:val="both"/>
      </w:pPr>
      <w:r w:rsidRPr="009A1928">
        <w:t>En su virtud, de acuerdo con el Consejo de Estado, he dispuesto:</w:t>
      </w:r>
    </w:p>
    <w:p w:rsidR="00437BB2" w:rsidRDefault="009A0316" w:rsidP="00437BB2">
      <w:pPr>
        <w:jc w:val="both"/>
      </w:pPr>
      <w:r w:rsidRPr="009A1928">
        <w:t>CAPÍTULO I</w:t>
      </w:r>
    </w:p>
    <w:p w:rsidR="009A0316" w:rsidRPr="009A1928" w:rsidRDefault="009A0316" w:rsidP="00437BB2">
      <w:pPr>
        <w:jc w:val="both"/>
      </w:pPr>
      <w:r w:rsidRPr="009A1928">
        <w:t>Cotización a la Seguridad Social</w:t>
      </w:r>
    </w:p>
    <w:p w:rsidR="00437BB2" w:rsidRDefault="009A0316" w:rsidP="00437BB2">
      <w:pPr>
        <w:jc w:val="both"/>
      </w:pPr>
      <w:r w:rsidRPr="009A1928">
        <w:t>Sección 1</w:t>
      </w:r>
    </w:p>
    <w:p w:rsidR="009A0316" w:rsidRPr="009A1928" w:rsidRDefault="009A0316" w:rsidP="00437BB2">
      <w:pPr>
        <w:jc w:val="both"/>
      </w:pPr>
      <w:r w:rsidRPr="009A1928">
        <w:t>Régimen general de la seguridad social</w:t>
      </w:r>
    </w:p>
    <w:p w:rsidR="009A0316" w:rsidRPr="009A1928" w:rsidRDefault="009A0316" w:rsidP="00437BB2">
      <w:pPr>
        <w:jc w:val="both"/>
      </w:pPr>
      <w:r w:rsidRPr="009A1928">
        <w:t xml:space="preserve">Artículo 1 Determinación de la base de cotización </w:t>
      </w:r>
    </w:p>
    <w:p w:rsidR="009A0316" w:rsidRPr="009A1928" w:rsidRDefault="009A0316" w:rsidP="00437BB2">
      <w:pPr>
        <w:jc w:val="both"/>
      </w:pPr>
      <w:r w:rsidRPr="009A1928">
        <w:t>1. Para determinar la base de cotización correspondiente a cada mes por las contingencias comunes en el Régimen General, se aplicarán las siguientes normas:</w:t>
      </w:r>
    </w:p>
    <w:p w:rsidR="009A0316" w:rsidRPr="009A1928" w:rsidRDefault="009A0316" w:rsidP="00437BB2">
      <w:pPr>
        <w:jc w:val="both"/>
      </w:pPr>
      <w:r w:rsidRPr="009A1928">
        <w:t>Primera. Se computará la remuneración devengada en el mes a que se refiere la cotización.</w:t>
      </w:r>
    </w:p>
    <w:p w:rsidR="009A0316" w:rsidRPr="009A1928" w:rsidRDefault="009A0316" w:rsidP="00437BB2">
      <w:pPr>
        <w:jc w:val="both"/>
      </w:pPr>
      <w:r w:rsidRPr="009A1928">
        <w:t>Segunda. A la remuneración computada conforme a la norma anterior se añadirá la parte proporcional de las gratificaciones extraordinarias establecidas y de aquellos otros conceptos retributivos que tengan una periodicidad en su devengo superior a la mensual o que no tengan carácter periódico y se satisfagan dentro del ejercicio económico del año 2019. A tal efecto, el importe anual estimado de dichas gratificaciones extraordinarias y demás conceptos retributivos se dividirá por 365, y el cociente que resulte se multiplicará por el número de días que comprenda el período de cotización de cada mes. En el caso de que la remuneración que corresponda al trabajador tenga carácter mensual, el indicado importe anual se dividirá por 12.</w:t>
      </w:r>
    </w:p>
    <w:p w:rsidR="009A0316" w:rsidRPr="009A1928" w:rsidRDefault="009A0316" w:rsidP="00437BB2">
      <w:pPr>
        <w:jc w:val="both"/>
      </w:pPr>
      <w:r w:rsidRPr="009A1928">
        <w:t>Tercera. Si la base de cotización que resulte de acuerdo con las normas anteriores no estuviese comprendida entre la cuantía de la base mínima y de la máxima correspondiente al grupo de cotización de la categoría profesional del trabajador, conforme a la tabla establecida en el artículo 3, se cotizará por la base mínima o máxima, según que la resultante sea inferior a aquella o superior a esta. La indicada base mínima será de aplicación cualquiera que fuese el número de horas trabajadas diariamente, excepto en aquellos supuestos en que por disposición legal se establece lo contrario.</w:t>
      </w:r>
    </w:p>
    <w:p w:rsidR="009A0316" w:rsidRPr="009A1928" w:rsidRDefault="009A0316" w:rsidP="00437BB2">
      <w:pPr>
        <w:jc w:val="both"/>
      </w:pPr>
      <w:r w:rsidRPr="009A1928">
        <w:t>2. Para determinar la base de cotización correspondiente a cada mes por las contingencias de accidentes de trabajo y enfermedades profesionales se aplicarán las normas primera y segunda del apartado anterior. La cantidad que así resulte no podrá ser superior al tope máximo ni inferior al tope mínimo correspondiente, previstos ambos en el artículo 2, cualquiera que sea el número de horas trabajadas diariamente, excepto en aquellos supuestos en que por disposición legal se establece lo contrario.</w:t>
      </w:r>
    </w:p>
    <w:p w:rsidR="009A0316" w:rsidRPr="009A1928" w:rsidRDefault="009A0316" w:rsidP="00437BB2">
      <w:pPr>
        <w:jc w:val="both"/>
      </w:pPr>
      <w:r w:rsidRPr="009A1928">
        <w:t xml:space="preserve">Artículo 2 Topes máximo y mínimo de cotización </w:t>
      </w:r>
    </w:p>
    <w:p w:rsidR="009A0316" w:rsidRPr="009A1928" w:rsidRDefault="009A0316" w:rsidP="00437BB2">
      <w:pPr>
        <w:jc w:val="both"/>
      </w:pPr>
      <w:r w:rsidRPr="009A1928">
        <w:t>1. El tope máximo de la base de cotización al Régimen General será, a partir de 1 de enero de 2019, de 4.070,10 euros mensuales.</w:t>
      </w:r>
    </w:p>
    <w:p w:rsidR="009A0316" w:rsidRPr="009A1928" w:rsidRDefault="009A0316" w:rsidP="00437BB2">
      <w:pPr>
        <w:jc w:val="both"/>
      </w:pPr>
      <w:r w:rsidRPr="009A1928">
        <w:t>2. A partir de la fecha indicada en el apartado 1, el tope mínimo de cotización para las contingencias de accidente de trabajo y enfermedad profesional será equivalente al salario mínimo interprofesional vigente en cada momento, incrementado por el prorrateo de las percepciones de vencimiento superior al mensual que perciba el trabajador, sin que pueda ser inferior a 1.050,00 euros mensuales.</w:t>
      </w:r>
    </w:p>
    <w:p w:rsidR="009A0316" w:rsidRPr="009A1928" w:rsidRDefault="009A0316" w:rsidP="00437BB2">
      <w:pPr>
        <w:jc w:val="both"/>
      </w:pPr>
      <w:r w:rsidRPr="009A1928">
        <w:t xml:space="preserve">Artículo 3 Bases máximas y mínimas de cotización </w:t>
      </w:r>
    </w:p>
    <w:p w:rsidR="009A0316" w:rsidRPr="009A1928" w:rsidRDefault="009A0316" w:rsidP="00437BB2">
      <w:pPr>
        <w:jc w:val="both"/>
      </w:pPr>
      <w:r w:rsidRPr="009A1928">
        <w:t>Durante el año 2019, la cotización al Régimen General por contingencias comunes estará limitada para cada grupo de categorías profesionales por las bases mínimas y máximas siguientes:</w:t>
      </w:r>
    </w:p>
    <w:tbl>
      <w:tblPr>
        <w:tblW w:w="5000" w:type="pct"/>
        <w:tblCellMar>
          <w:top w:w="15" w:type="dxa"/>
          <w:left w:w="15" w:type="dxa"/>
          <w:bottom w:w="15" w:type="dxa"/>
          <w:right w:w="15" w:type="dxa"/>
        </w:tblCellMar>
        <w:tblLook w:val="04A0" w:firstRow="1" w:lastRow="0" w:firstColumn="1" w:lastColumn="0" w:noHBand="0" w:noVBand="1"/>
      </w:tblPr>
      <w:tblGrid>
        <w:gridCol w:w="1257"/>
        <w:gridCol w:w="5029"/>
        <w:gridCol w:w="1102"/>
        <w:gridCol w:w="1116"/>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Categorías profesionales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mínimas</w:t>
            </w:r>
          </w:p>
          <w:p w:rsidR="009A0316" w:rsidRPr="009A1928" w:rsidRDefault="009A0316" w:rsidP="00437BB2">
            <w:pPr>
              <w:jc w:val="both"/>
            </w:pPr>
            <w:r w:rsidRPr="009A1928">
              <w:t>–</w:t>
            </w:r>
          </w:p>
          <w:p w:rsidR="009A0316" w:rsidRPr="009A1928" w:rsidRDefault="009A0316" w:rsidP="00437BB2">
            <w:pPr>
              <w:jc w:val="both"/>
            </w:pPr>
            <w:r w:rsidRPr="009A1928">
              <w:t>Euros/mes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máximas</w:t>
            </w:r>
          </w:p>
          <w:p w:rsidR="009A0316" w:rsidRPr="009A1928" w:rsidRDefault="009A0316" w:rsidP="00437BB2">
            <w:pPr>
              <w:jc w:val="both"/>
            </w:pPr>
            <w:r w:rsidRPr="009A1928">
              <w:t>–</w:t>
            </w:r>
          </w:p>
          <w:p w:rsidR="009A0316" w:rsidRPr="009A1928" w:rsidRDefault="009A0316" w:rsidP="00437BB2">
            <w:pPr>
              <w:jc w:val="both"/>
            </w:pPr>
            <w:r w:rsidRPr="009A1928">
              <w:t>Euros/mes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y Licenciados. Personal de alta dirección no incluido en el artículo 1.3.c) del Estatuto de los Trabajadores.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1.466,40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Técnicos, Peritos y Ayudantes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1.215,90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Jefes Administrativos y de Taller.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1.057,80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Ayudantes no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Subalternos.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Auxiliares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primera y segunda.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135,67</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tercera y Especialistas.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135,67</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Peones.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135,67</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 xml:space="preserve">Trabajadores menores de dieciocho años, cualquiera que sea su categoría </w:t>
            </w:r>
            <w:r w:rsidR="00374580" w:rsidRPr="009A1928">
              <w:t>profesional</w:t>
            </w:r>
            <w:r w:rsidRPr="009A1928">
              <w:t>.</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135,67</w:t>
            </w:r>
          </w:p>
        </w:tc>
      </w:tr>
    </w:tbl>
    <w:p w:rsidR="009A0316" w:rsidRPr="009A1928" w:rsidRDefault="009A0316" w:rsidP="00437BB2">
      <w:pPr>
        <w:jc w:val="both"/>
      </w:pPr>
      <w:r w:rsidRPr="009A1928">
        <w:t xml:space="preserve">Artículo 4 Tipos de cotización </w:t>
      </w:r>
    </w:p>
    <w:p w:rsidR="009A0316" w:rsidRPr="009A1928" w:rsidRDefault="009A0316" w:rsidP="00437BB2">
      <w:pPr>
        <w:jc w:val="both"/>
      </w:pPr>
      <w:r w:rsidRPr="009A1928">
        <w:t>A partir de 1 de enero de 2019, los tipos de cotización al Régimen General serán los siguientes:</w:t>
      </w:r>
    </w:p>
    <w:p w:rsidR="009A0316" w:rsidRPr="009A1928" w:rsidRDefault="009A0316" w:rsidP="00437BB2">
      <w:pPr>
        <w:jc w:val="both"/>
      </w:pPr>
      <w:r w:rsidRPr="009A1928">
        <w:t>a) Para las contingencias comunes, el 28,30 por ciento, del que el 23,60 por ciento será a cargo de la empresa y el 4,70 por ciento a cargo del trabajador.</w:t>
      </w:r>
    </w:p>
    <w:p w:rsidR="009A0316" w:rsidRPr="009A1928" w:rsidRDefault="009A0316" w:rsidP="00437BB2">
      <w:pPr>
        <w:jc w:val="both"/>
      </w:pPr>
      <w:r w:rsidRPr="009A1928">
        <w:t>b) Para las contingencias de accidentes de trabajo y enfermedades profesionales se aplicarán los tipos de la tarifa de primas establecida en la disposición adicional cuarta de la Ley 42/2006, de 28 de diciembre, de Presupuestos Generales del Estado para el año 2007, siendo las primas resultantes a cargo exclusivo de la empresa.</w:t>
      </w:r>
    </w:p>
    <w:p w:rsidR="009A0316" w:rsidRPr="009A1928" w:rsidRDefault="009A0316" w:rsidP="00437BB2">
      <w:pPr>
        <w:jc w:val="both"/>
      </w:pPr>
      <w:r w:rsidRPr="009A1928">
        <w:t>En el caso de empresas que ocupen a trabajadores a quienes en razón de su actividad les resulte de aplicación un coeficiente reductor de la edad de jubilación, se aplicará el tipo de cotización por accidentes de trabajo y enfermedades profesionales más alto de los establecidos en dicha tarifa de primas, siempre y cuando el establecimiento de ese coeficiente reductor no lleve aparejada una cotización adicional por tal concepto.</w:t>
      </w:r>
    </w:p>
    <w:p w:rsidR="009A0316" w:rsidRPr="009A1928" w:rsidRDefault="009A0316" w:rsidP="00437BB2">
      <w:pPr>
        <w:jc w:val="both"/>
      </w:pPr>
      <w:r w:rsidRPr="009A1928">
        <w:t>Lo previsto en el párrafo anterior no será de aplicación a las empresas que ocupen a trabajadores incluidos en el ámbito de aplicación del Real Decreto 1539/2003, de 5 de diciembre, por el que se establecen coeficientes reductores de la edad de jubilación a favor de los trabajadores que acreditan un grado importante de discapacidad.</w:t>
      </w:r>
    </w:p>
    <w:p w:rsidR="009A0316" w:rsidRPr="009A1928" w:rsidRDefault="009A0316" w:rsidP="00437BB2">
      <w:pPr>
        <w:jc w:val="both"/>
      </w:pPr>
      <w:r w:rsidRPr="009A1928">
        <w:t xml:space="preserve">Artículo 5 Cotización adicional por horas extraordinarias </w:t>
      </w:r>
    </w:p>
    <w:p w:rsidR="009A0316" w:rsidRPr="009A1928" w:rsidRDefault="009A0316" w:rsidP="00437BB2">
      <w:pPr>
        <w:jc w:val="both"/>
      </w:pPr>
      <w:r w:rsidRPr="009A1928">
        <w:t>La remuneración que obtengan los trabajadores por el concepto de horas extraordinarias queda sujeta a una cotización adicional, que no será computable a efectos de determinar la base reguladora de las prestaciones.</w:t>
      </w:r>
    </w:p>
    <w:p w:rsidR="009A0316" w:rsidRPr="009A1928" w:rsidRDefault="009A0316" w:rsidP="00437BB2">
      <w:pPr>
        <w:jc w:val="both"/>
      </w:pPr>
      <w:r w:rsidRPr="009A1928">
        <w:t>La cotización adicional por las horas extraordinarias motivadas por fuerza mayor se efectuará aplicando el tipo del 14,00 por ciento, del que el 12,00 por ciento será a cargo de la empresa y el 2,00 por ciento a cargo del trabajador.</w:t>
      </w:r>
    </w:p>
    <w:p w:rsidR="009A0316" w:rsidRPr="009A1928" w:rsidRDefault="009A0316" w:rsidP="00437BB2">
      <w:pPr>
        <w:jc w:val="both"/>
      </w:pPr>
      <w:r w:rsidRPr="009A1928">
        <w:t>La cotización adicional por las horas extraordinarias que no tengan la consideración referida en el párrafo anterior se efectuará aplicando el tipo del 28,30 por ciento, del que el 23,60 por ciento será a cargo de la empresa y el 4,70 por ciento a cargo del trabajador.</w:t>
      </w:r>
    </w:p>
    <w:p w:rsidR="009A0316" w:rsidRPr="009A1928" w:rsidRDefault="009A0316" w:rsidP="00437BB2">
      <w:pPr>
        <w:jc w:val="both"/>
      </w:pPr>
      <w:r w:rsidRPr="009A1928">
        <w:t xml:space="preserve">Artículo 6 Cotización durante las situaciones de incapacidad temporal, riesgo durante el embarazo, riesgo durante la lactancia natural, maternidad y paternidad, y en los casos de compatibilidad del subsidio por maternidad o paternidad con períodos de descanso en régimen de jornada a tiempo parcial </w:t>
      </w:r>
    </w:p>
    <w:p w:rsidR="009A0316" w:rsidRPr="009A1928" w:rsidRDefault="009A0316" w:rsidP="00437BB2">
      <w:pPr>
        <w:jc w:val="both"/>
      </w:pPr>
      <w:r w:rsidRPr="009A1928">
        <w:t>1. La obligación de cotizar permanece durante las situaciones de incapacidad temporal, riesgo durante el embarazo, riesgo durante la lactancia natural y de disfrute de los períodos de descanso por maternidad o paternidad, aunque estos supongan una causa de suspensión de la relación laboral.</w:t>
      </w:r>
    </w:p>
    <w:p w:rsidR="009A0316" w:rsidRPr="009A1928" w:rsidRDefault="009A0316" w:rsidP="00437BB2">
      <w:pPr>
        <w:jc w:val="both"/>
      </w:pPr>
      <w:r w:rsidRPr="009A1928">
        <w:t>2. En las situaciones señaladas en el apartado anterior, la base de cotización aplicable para las contingencias comunes será la correspondiente al mes anterior al de la fecha de la incapacidad, de las situaciones de riesgo durante el embarazo o de riesgo durante la lactancia natural, o del inicio del disfrute de los períodos de descanso por maternidad o por paternidad.</w:t>
      </w:r>
    </w:p>
    <w:p w:rsidR="009A0316" w:rsidRPr="009A1928" w:rsidRDefault="009A0316" w:rsidP="00437BB2">
      <w:pPr>
        <w:jc w:val="both"/>
      </w:pPr>
      <w:r w:rsidRPr="009A1928">
        <w:t>Para la aplicación de lo dispuesto en el párrafo anterior se tendrán en cuenta las siguientes reglas:</w:t>
      </w:r>
    </w:p>
    <w:p w:rsidR="009A0316" w:rsidRPr="009A1928" w:rsidRDefault="009A0316" w:rsidP="00437BB2">
      <w:pPr>
        <w:jc w:val="both"/>
      </w:pPr>
      <w:r w:rsidRPr="009A1928">
        <w:t>Primera. En el supuesto de remuneración que se satisfaga con carácter diario, hubiere o no permanecido en alta en la empresa el trabajador durante todo el mes natural anterior, el importe de la base de cotización de dicho mes se dividirá por el número de días a que se refiera la cotización. El cociente resultante será la base diaria de cotización, que se multiplicará por el número de días en que el trabajador permanezca en situación de incapacidad temporal, riesgo durante el embarazo, riesgo durante la lactancia natural o de disfrute de los períodos de descanso por maternidad o por paternidad para determinar la base de cotización durante dicha situación.</w:t>
      </w:r>
    </w:p>
    <w:p w:rsidR="009A0316" w:rsidRPr="009A1928" w:rsidRDefault="009A0316" w:rsidP="00437BB2">
      <w:pPr>
        <w:jc w:val="both"/>
      </w:pPr>
      <w:r w:rsidRPr="009A1928">
        <w:t>Segunda. Cuando el trabajador tuviera remuneración mensual y hubiese permanecido en alta en la empresa durante todo el mes natural anterior al de la iniciación de dichas situaciones, la base de cotización de ese mes se dividirá por 30. Si no hubiera permanecido en alta en la empresa durante todo el mes natural anterior, el importe de la base de cotización de dicho mes se dividirá por el número de días a que se refiere la cotización. En ambos casos, el cociente resultante será la base diaria de cotización, que se multiplicará por 30 de permanecer todo el mes en la situación de incapacidad temporal, riesgo durante el embarazo, riesgo durante la lactancia natural o de disfrute de los períodos de descanso por maternidad o por paternidad, o por la diferencia existente entre dicha cifra y el número de días que realmente haya trabajado en dicho mes.</w:t>
      </w:r>
    </w:p>
    <w:p w:rsidR="009A0316" w:rsidRPr="009A1928" w:rsidRDefault="009A0316" w:rsidP="00437BB2">
      <w:pPr>
        <w:jc w:val="both"/>
      </w:pPr>
      <w:r w:rsidRPr="009A1928">
        <w:t>Tercera. Cuando el trabajador hubiera ingresado en la empresa en el mismo mes en que haya iniciado alguna de las situaciones a que se refiere este artículo, se aplicará a ese mes lo establecido en las reglas precedentes.</w:t>
      </w:r>
    </w:p>
    <w:p w:rsidR="009A0316" w:rsidRPr="009A1928" w:rsidRDefault="009A0316" w:rsidP="00437BB2">
      <w:pPr>
        <w:jc w:val="both"/>
      </w:pPr>
      <w:r w:rsidRPr="009A1928">
        <w:t>3. Lo dispuesto en el apartado anterior será de aplicación para calcular la base de cotización, a efectos de las contingencias de accidentes de trabajo y enfermedades profesionales, durante las situaciones de incapacidad temporal, riesgo durante el embarazo, riesgo durante la lactancia natural y maternidad o paternidad. No obstante, y a fin de determinar la cotización que por el concepto de horas extraordinarias corresponde efectuar, se tendrá en cuenta el promedio de las efectivamente realizadas y cotizadas durante el año inmediatamente anterior a la fecha de iniciación de dichas situaciones. A tal efecto, el número de horas realizadas se dividirá por 12 o 365, según que la remuneración del trabajador se satisfaga o no con carácter mensual.</w:t>
      </w:r>
    </w:p>
    <w:p w:rsidR="009A0316" w:rsidRPr="009A1928" w:rsidRDefault="009A0316" w:rsidP="00437BB2">
      <w:pPr>
        <w:jc w:val="both"/>
      </w:pPr>
      <w:r w:rsidRPr="009A1928">
        <w:t>4. Salvo en los supuestos en que por disposición legal se establezca lo contrario, en ningún caso la base de cotización por contingencias comunes, en las situaciones a que se refiere este artículo, podrá ser inferior a la base mínima vigente en cada momento correspondiente a la categoría profesional del trabajador. A tal efecto, el correspondiente subsidio se actualizará a partir de la fecha de entrada en vigor de la nueva base mínima de cotización.</w:t>
      </w:r>
    </w:p>
    <w:p w:rsidR="009A0316" w:rsidRPr="009A1928" w:rsidRDefault="009A0316" w:rsidP="00437BB2">
      <w:pPr>
        <w:jc w:val="both"/>
      </w:pPr>
      <w:r w:rsidRPr="009A1928">
        <w:t>5. En la cotización por accidentes de trabajo y enfermedades profesionales, durante los periodos de baja por incapacidad temporal y otras situaciones con suspensión de la relación laboral con obligación de cotización, continuará siendo de aplicación el tipo de cotización correspondiente a la respectiva actividad económica u ocupación en su caso, de conformidad con la tarifa de primas establecida en la disposición adicional cuarta de la Ley 42/2006, de 28 de diciembre.</w:t>
      </w:r>
    </w:p>
    <w:p w:rsidR="009A0316" w:rsidRPr="009A1928" w:rsidRDefault="009A0316" w:rsidP="00437BB2">
      <w:pPr>
        <w:jc w:val="both"/>
      </w:pPr>
      <w:r w:rsidRPr="009A1928">
        <w:t>En el caso de empresas que ocupen a trabajadores a quienes en razón de su actividad les resulte de aplicación un coeficiente reductor de la edad de jubilación, se aplicará el tipo de cotización por accidentes de trabajo y enfermedades profesionales más alto de los establecidos en dicha tarifa de primas, siempre y cuando el establecimiento de ese coeficiente reductor no lleve aparejada una cotización adicional por tal concepto.</w:t>
      </w:r>
    </w:p>
    <w:p w:rsidR="009A0316" w:rsidRPr="009A1928" w:rsidRDefault="009A0316" w:rsidP="00437BB2">
      <w:pPr>
        <w:jc w:val="both"/>
      </w:pPr>
      <w:r w:rsidRPr="009A1928">
        <w:t>Lo previsto en el párrafo anterior no será de aplicación a las empresas que ocupen a trabajadores incluidos en el ámbito de aplicación del Real Decreto 1539/2003, de 5 de diciembre, por el que se establecen coeficientes reductores de la edad de jubilación a favor de los trabajadores que acreditan un grado importante de discapacidad.</w:t>
      </w:r>
    </w:p>
    <w:p w:rsidR="009A0316" w:rsidRPr="009A1928" w:rsidRDefault="009A0316" w:rsidP="00437BB2">
      <w:pPr>
        <w:jc w:val="both"/>
      </w:pPr>
      <w:r w:rsidRPr="009A1928">
        <w:t>6. Cuando se compatibilice la percepción del subsidio por maternidad o paternidad con el disfrute de los períodos de descanso en régimen de jornada a tiempo parcial, la base de cotización vendrá determinada por los dos sumandos siguientes:</w:t>
      </w:r>
    </w:p>
    <w:p w:rsidR="009A0316" w:rsidRPr="009A1928" w:rsidRDefault="009A0316" w:rsidP="00437BB2">
      <w:pPr>
        <w:jc w:val="both"/>
      </w:pPr>
      <w:r w:rsidRPr="009A1928">
        <w:t>a) Base reguladora del subsidio, en proporción a la fracción de jornada correspondiente al período de descanso.</w:t>
      </w:r>
    </w:p>
    <w:p w:rsidR="009A0316" w:rsidRPr="009A1928" w:rsidRDefault="009A0316" w:rsidP="00437BB2">
      <w:pPr>
        <w:jc w:val="both"/>
      </w:pPr>
      <w:r w:rsidRPr="009A1928">
        <w:t>b) Remuneraciones sujetas a cotización, en proporción a la jornada efectivamente realizada.</w:t>
      </w:r>
    </w:p>
    <w:p w:rsidR="009A0316" w:rsidRPr="009A1928" w:rsidRDefault="009A0316" w:rsidP="00437BB2">
      <w:pPr>
        <w:jc w:val="both"/>
      </w:pPr>
      <w:r w:rsidRPr="009A1928">
        <w:t xml:space="preserve">Artículo 7 Cotización en la situación de alta sin percibo de remuneración </w:t>
      </w:r>
    </w:p>
    <w:p w:rsidR="009A0316" w:rsidRPr="009A1928" w:rsidRDefault="009A0316" w:rsidP="00437BB2">
      <w:pPr>
        <w:jc w:val="both"/>
      </w:pPr>
      <w:r w:rsidRPr="009A1928">
        <w:t>1. Cuando el trabajador permanezca en alta en el Régimen General de la Seguridad Social y se mantenga la obligación de cotizar conforme a lo dispuesto en el artículo 144.2 del texto refundido de la Ley General de la Seguridad Social, aprobado por el Real Decreto Legislativo 8/2015, de 30 de octubre, sin que perciba remuneración computable, se tomará como base de cotización la mínima correspondiente al grupo de su categoría profesional. A efectos de cotización por las contingencias de accidentes de trabajo y enfermedades profesionales se tendrá en cuenta el tope mínimo de cotización establecido en el artículo 2.2 de esta orden.</w:t>
      </w:r>
    </w:p>
    <w:p w:rsidR="009A0316" w:rsidRPr="009A1928" w:rsidRDefault="009A0316" w:rsidP="00437BB2">
      <w:pPr>
        <w:jc w:val="both"/>
      </w:pPr>
      <w:r w:rsidRPr="009A1928">
        <w:t>2. Lo dispuesto en el apartado anterior no será de aplicación a las situaciones previstas en la Orden del Ministerio de Trabajo y Seguridad Social, de 27 de octubre de 1992, por la que se dictan instrucciones en relación con la cotización al Régimen General de la Seguridad Social de los funcionarios públicos incluidos en el campo de aplicación de dicho régimen, durante las situaciones de licencia o permiso sin sueldo, suspensión provisional de funciones, cumplimiento del servicio militar o de la prestación social sustitutoria y plazo posesorio por cambio de destino.</w:t>
      </w:r>
    </w:p>
    <w:p w:rsidR="009A0316" w:rsidRPr="009A1928" w:rsidRDefault="009A0316" w:rsidP="00437BB2">
      <w:pPr>
        <w:jc w:val="both"/>
      </w:pPr>
      <w:r w:rsidRPr="009A1928">
        <w:t xml:space="preserve">Artículo 8 Base de cotización en la situación de desempleo protegido </w:t>
      </w:r>
    </w:p>
    <w:p w:rsidR="009A0316" w:rsidRPr="009A1928" w:rsidRDefault="009A0316" w:rsidP="00437BB2">
      <w:pPr>
        <w:jc w:val="both"/>
      </w:pPr>
      <w:r w:rsidRPr="009A1928">
        <w:t>1. Durante la percepción de la prestación por desempleo por extinción de la relación laboral, la base de cotización a la Seguridad Social de aquellos trabajadores por los que exista obligación legal de cotizar será la base reguladora de la prestación por desempleo, determinada según lo establecido en el artículo 270.1 del texto refundido de la Ley General de la Seguridad Social, con respeto, en todo caso, del importe de la base mínima por contingencias comunes prevista para cada categoría profesional, teniendo dicha base la consideración de base de contingencias comunes a efectos de las prestaciones de la Seguridad Social.</w:t>
      </w:r>
    </w:p>
    <w:p w:rsidR="009A0316" w:rsidRPr="009A1928" w:rsidRDefault="009A0316" w:rsidP="00437BB2">
      <w:pPr>
        <w:jc w:val="both"/>
      </w:pPr>
      <w:r w:rsidRPr="009A1928">
        <w:t>2. Durante la percepción de la prestación por desempleo por suspensión temporal de la relación laboral o por reducción temporal de jornada, ya sea por decisión del empresario al amparo de lo establecido en el artículo 47 del texto refundido de la Ley del Estatuto de los Trabajadores, aprobado por el Real Decreto Legislativo 2/2015, de 23 de octubre, o en virtud de resolución judicial adoptada en el seno de un procedimiento concursal, la base de cotización a la Seguridad Social de aquellos trabajadores por los que exista obligación legal de cotizar será el equivalente al promedio de las bases de los últimos seis meses de ocupación cotizada, por contingencias comunes y por contingencias de accidentes de trabajo y enfermedades profesionales, anteriores a la situación legal de desempleo o al momento en que cesó la obligación legal de cotizar.</w:t>
      </w:r>
    </w:p>
    <w:p w:rsidR="009A0316" w:rsidRPr="009A1928" w:rsidRDefault="009A0316" w:rsidP="00437BB2">
      <w:pPr>
        <w:jc w:val="both"/>
      </w:pPr>
      <w:r w:rsidRPr="009A1928">
        <w:t>3. La reanudación de la prestación por desempleo en los supuestos de suspensión del derecho supondrá la reanudación de la obligación de cotizar por la base de cotización indicada en los apartados anteriores correspondiente al momento del nacimiento del derecho.</w:t>
      </w:r>
    </w:p>
    <w:p w:rsidR="009A0316" w:rsidRPr="009A1928" w:rsidRDefault="009A0316" w:rsidP="00437BB2">
      <w:pPr>
        <w:jc w:val="both"/>
      </w:pPr>
      <w:r w:rsidRPr="009A1928">
        <w:t>4. Cuando se hubiese extinguido el derecho a la prestación por desempleo y, en aplicación del artículo 269.3 del texto refundido de la Ley General de la Seguridad Social, el trabajador opte por reabrir el derecho inicial, la base de cotización a la Seguridad Social será la indicada en el apartado 1 de este artículo, correspondiente al momento del nacimiento del derecho por el que se opta o, en su caso, las indicadas en el apartado 2 de este artículo, correspondientes al momento del nacimiento del derecho por el que se opta.</w:t>
      </w:r>
    </w:p>
    <w:p w:rsidR="009A0316" w:rsidRPr="009A1928" w:rsidRDefault="009A0316" w:rsidP="00437BB2">
      <w:pPr>
        <w:jc w:val="both"/>
      </w:pPr>
      <w:r w:rsidRPr="009A1928">
        <w:t>5. Durante la percepción de la prestación solo se actualizará la base de cotización indicada en los anteriores apartados cuando resulte inferior a la base mínima de cotización a la Seguridad Social vigente en cada momento que corresponda al grupo de cotización del trabajador en el momento de producirse la situación legal de desempleo y hasta dicho tope.</w:t>
      </w:r>
    </w:p>
    <w:p w:rsidR="009A0316" w:rsidRPr="009A1928" w:rsidRDefault="009A0316" w:rsidP="00437BB2">
      <w:pPr>
        <w:jc w:val="both"/>
      </w:pPr>
      <w:r w:rsidRPr="009A1928">
        <w:t>6. Durante la percepción de la prestación por desempleo que proviene del contrato para la formación y el aprendizaje, se aplicarán las normas establecidas en los apartados anteriores, salvo en los supuestos recogidos en el apartado 2 en los que la cotización a la Seguridad Social se efectuará aplicando las cuotas únicas a que se refiere el artículo 44.1 de esta orden, y, en todo caso, lo previsto en el artículo 273 del texto refundido de la Ley General de la Seguridad Social.</w:t>
      </w:r>
    </w:p>
    <w:p w:rsidR="009A0316" w:rsidRPr="009A1928" w:rsidRDefault="009A0316" w:rsidP="00437BB2">
      <w:pPr>
        <w:jc w:val="both"/>
      </w:pPr>
      <w:r w:rsidRPr="009A1928">
        <w:t xml:space="preserve">Artículo 9 Cotización en la situación de pluriempleo </w:t>
      </w:r>
    </w:p>
    <w:p w:rsidR="009A0316" w:rsidRPr="009A1928" w:rsidRDefault="009A0316" w:rsidP="00437BB2">
      <w:pPr>
        <w:jc w:val="both"/>
      </w:pPr>
      <w:r w:rsidRPr="009A1928">
        <w:t>1. Cuando el trabajador se encuentre en situación de pluriempleo se aplicarán las siguientes normas:</w:t>
      </w:r>
    </w:p>
    <w:p w:rsidR="009A0316" w:rsidRPr="009A1928" w:rsidRDefault="009A0316" w:rsidP="00437BB2">
      <w:pPr>
        <w:jc w:val="both"/>
      </w:pPr>
      <w:r w:rsidRPr="009A1928">
        <w:t>a) Para las contingencias comunes:</w:t>
      </w:r>
    </w:p>
    <w:p w:rsidR="009A0316" w:rsidRPr="009A1928" w:rsidRDefault="009A0316" w:rsidP="00437BB2">
      <w:pPr>
        <w:jc w:val="both"/>
      </w:pPr>
      <w:r w:rsidRPr="009A1928">
        <w:t>Primera. El tope máximo de las bases de cotización, establecido en 4.070,10 euros mensuales, se distribuirá entre todas las empresas en proporción a la remuneración abonada al trabajador en cada una de ellas.</w:t>
      </w:r>
    </w:p>
    <w:p w:rsidR="009A0316" w:rsidRPr="009A1928" w:rsidRDefault="009A0316" w:rsidP="00437BB2">
      <w:pPr>
        <w:jc w:val="both"/>
      </w:pPr>
      <w:r w:rsidRPr="009A1928">
        <w:t>Segunda. Cada una de las empresas cotizará por los conceptos retributivos computables que satisfaga al trabajador, con el límite que corresponda a la fracción del tope máximo que se le asigne.</w:t>
      </w:r>
    </w:p>
    <w:p w:rsidR="009A0316" w:rsidRPr="009A1928" w:rsidRDefault="009A0316" w:rsidP="00437BB2">
      <w:pPr>
        <w:jc w:val="both"/>
      </w:pPr>
      <w:r w:rsidRPr="009A1928">
        <w:t>Tercera. La base mínima correspondiente al trabajador, según su categoría profesional, se distribuirá entre las distintas empresas y será aplicada para cada una de ellas en forma análoga a la señalada para el tope máximo. Si al trabajador le correspondieran diferentes bases mínimas de cotización por su clasificación laboral se tomará para su distribución la base mínima de superior cuantía.</w:t>
      </w:r>
    </w:p>
    <w:p w:rsidR="009A0316" w:rsidRPr="009A1928" w:rsidRDefault="009A0316" w:rsidP="00437BB2">
      <w:pPr>
        <w:jc w:val="both"/>
      </w:pPr>
      <w:r w:rsidRPr="009A1928">
        <w:t>b) Para las contingencias de accidentes de trabajo y enfermedades profesionales:</w:t>
      </w:r>
    </w:p>
    <w:p w:rsidR="009A0316" w:rsidRPr="009A1928" w:rsidRDefault="009A0316" w:rsidP="00437BB2">
      <w:pPr>
        <w:jc w:val="both"/>
      </w:pPr>
      <w:r w:rsidRPr="009A1928">
        <w:t>Primera. El tope máximo de la base de cotización, establecido en 4.070,10 euros mensuales, se distribuirá entre todas las empresas en proporción a la remuneración abonada al trabajador en cada una de ellas.</w:t>
      </w:r>
    </w:p>
    <w:p w:rsidR="009A0316" w:rsidRPr="009A1928" w:rsidRDefault="009A0316" w:rsidP="00437BB2">
      <w:pPr>
        <w:jc w:val="both"/>
      </w:pPr>
      <w:r w:rsidRPr="009A1928">
        <w:t>Segunda. El tope mínimo de cotización se distribuirá entre las distintas empresas y será aplicado para cada una de ellas en forma análoga a la señalada para el tope máximo.</w:t>
      </w:r>
    </w:p>
    <w:p w:rsidR="009A0316" w:rsidRPr="009A1928" w:rsidRDefault="009A0316" w:rsidP="00437BB2">
      <w:pPr>
        <w:jc w:val="both"/>
      </w:pPr>
      <w:r w:rsidRPr="009A1928">
        <w:t>Tercera. La base de cotización será para cada empresa la que resulte conforme a lo señalado en el artículo 1, con los límites que se le hayan asignado, según las normas anteriores.</w:t>
      </w:r>
    </w:p>
    <w:p w:rsidR="009A0316" w:rsidRPr="009A1928" w:rsidRDefault="009A0316" w:rsidP="00437BB2">
      <w:pPr>
        <w:jc w:val="both"/>
      </w:pPr>
      <w:r w:rsidRPr="009A1928">
        <w:t>2. En el supuesto de que uno de los empleos conlleve la inclusión en el Régimen General de la Seguridad Social en los términos indicados en el artículo 136.2.c) y e) del texto refundido de la Ley General de la Seguridad Social, la distribución del tope máximo correspondiente a las contingencias de accidentes de trabajo y enfermedades profesionales solo se efectuará al objeto de determinar las cuotas correspondientes a las contingencias comúnmente protegidas por ambas modalidades de inclusión, así como los demás conceptos de recaudación conjunta. A tal fin, se efectuará una doble distribución del tope máximo de cotización citado, una de ellas para determinar la cotización por accidentes de trabajo y enfermedades profesionales, así como para formación profesional, y la otra para determinar la cotización por desempleo y para el Fondo de Garantía Salarial.</w:t>
      </w:r>
    </w:p>
    <w:p w:rsidR="009A0316" w:rsidRPr="009A1928" w:rsidRDefault="009A0316" w:rsidP="00437BB2">
      <w:pPr>
        <w:jc w:val="both"/>
      </w:pPr>
      <w:r w:rsidRPr="009A1928">
        <w:t>3. Los prorrateos indicados en los apartados anteriores se llevarán a cabo a petición de las empresas o trabajadores afectados. La distribución así determinada tendrá efectos a partir de la liquidación de cuotas que corresponda al mes en que se acredite la existencia de la situación de pluriempleo, salvo que se trate de períodos en los que hubiera prescrito la obligación de cotizar.</w:t>
      </w:r>
    </w:p>
    <w:p w:rsidR="009A0316" w:rsidRPr="009A1928" w:rsidRDefault="009A0316" w:rsidP="00437BB2">
      <w:pPr>
        <w:jc w:val="both"/>
      </w:pPr>
      <w:r w:rsidRPr="009A1928">
        <w:t>4. Las direcciones provinciales de la Tesorería General de la Seguridad Social o sus administraciones, de oficio o a instancia del trabajador o empresario afectados, podrán rectificar la distribución entre las distintas empresas, efectuada conforme a lo dispuesto en el apartado 1, cuando de acuerdo con dicha distribución se produzcan desviaciones en las bases de cotización resultantes.</w:t>
      </w:r>
    </w:p>
    <w:p w:rsidR="009A0316" w:rsidRPr="009A1928" w:rsidRDefault="009A0316" w:rsidP="00437BB2">
      <w:pPr>
        <w:jc w:val="both"/>
      </w:pPr>
      <w:r w:rsidRPr="009A1928">
        <w:t xml:space="preserve">Artículo 10 Cotización de los artistas </w:t>
      </w:r>
    </w:p>
    <w:p w:rsidR="009A0316" w:rsidRPr="009A1928" w:rsidRDefault="009A0316" w:rsidP="00437BB2">
      <w:pPr>
        <w:jc w:val="both"/>
      </w:pPr>
      <w:r w:rsidRPr="009A1928">
        <w:t>1. A partir de 1 de enero de 2019, la base máxima de cotización por contingencias comunes para todas las categorías profesionales de los artistas a que se refiere el artículo 32.3 del Reglamento general sobre cotización y liquidación de otros derechos de la Seguridad Social, aprobado por el Real Decreto 2064/1995, de 22 de diciembre, será de 4.070,10 euros mensuales.</w:t>
      </w:r>
    </w:p>
    <w:p w:rsidR="009A0316" w:rsidRPr="009A1928" w:rsidRDefault="009A0316" w:rsidP="00437BB2">
      <w:pPr>
        <w:jc w:val="both"/>
      </w:pPr>
      <w:r w:rsidRPr="009A1928">
        <w:t>El tope máximo de las bases de cotización en razón de las actividades realizadas por un artista, para una o varias empresas, tendrá carácter anual y se determinará por la elevación a cómputo anual de la base mensual máxima señalada.</w:t>
      </w:r>
    </w:p>
    <w:p w:rsidR="009A0316" w:rsidRPr="009A1928" w:rsidRDefault="009A0316" w:rsidP="00437BB2">
      <w:pPr>
        <w:jc w:val="both"/>
      </w:pPr>
      <w:r w:rsidRPr="009A1928">
        <w:t>2. Las bases de cotización a cuenta para determinar la cotización de los artistas, previstas en el artículo 32.5.b) del Reglamento general citado en el apartado anterior, serán, a partir de 1 de enero de 2019 y para todos los grupos de cotización, las siguientes:</w:t>
      </w:r>
    </w:p>
    <w:tbl>
      <w:tblPr>
        <w:tblW w:w="5000" w:type="pct"/>
        <w:tblCellMar>
          <w:top w:w="15" w:type="dxa"/>
          <w:left w:w="15" w:type="dxa"/>
          <w:bottom w:w="15" w:type="dxa"/>
          <w:right w:w="15" w:type="dxa"/>
        </w:tblCellMar>
        <w:tblLook w:val="04A0" w:firstRow="1" w:lastRow="0" w:firstColumn="1" w:lastColumn="0" w:noHBand="0" w:noVBand="1"/>
      </w:tblPr>
      <w:tblGrid>
        <w:gridCol w:w="6439"/>
        <w:gridCol w:w="2065"/>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Retribuciones íntegras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Euros/día</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Hasta 461,00 euros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270,00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Entre 461,01 y 829,00 euros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341,00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Entre 829,01 y 1.386,00 euros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Mayor de 1.386,00 euros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542,00</w:t>
            </w:r>
          </w:p>
        </w:tc>
      </w:tr>
    </w:tbl>
    <w:p w:rsidR="009A0316" w:rsidRPr="009A1928" w:rsidRDefault="009A0316" w:rsidP="00437BB2">
      <w:pPr>
        <w:jc w:val="both"/>
      </w:pPr>
      <w:r w:rsidRPr="009A1928">
        <w:t>3. La base de cotización aplicable durante los períodos de inactividad de los artistas en los que se mantenga voluntariamente la situación de alta en el Régimen General de la Seguridad Social será la base mínima vigente en cada momento, por contingencias comunes, correspondiente al grupo 7 de la escala de grupos de cotización de dicho régimen.</w:t>
      </w:r>
    </w:p>
    <w:p w:rsidR="009A0316" w:rsidRPr="009A1928" w:rsidRDefault="009A0316" w:rsidP="00437BB2">
      <w:pPr>
        <w:jc w:val="both"/>
      </w:pPr>
      <w:r w:rsidRPr="009A1928">
        <w:t>El tipo de cotización aplicable será el 11,50 por ciento.</w:t>
      </w:r>
    </w:p>
    <w:p w:rsidR="009A0316" w:rsidRPr="009A1928" w:rsidRDefault="009A0316" w:rsidP="00437BB2">
      <w:pPr>
        <w:jc w:val="both"/>
      </w:pPr>
      <w:r w:rsidRPr="009A1928">
        <w:t xml:space="preserve">Artículo 11 Cotización de los profesionales taurinos </w:t>
      </w:r>
    </w:p>
    <w:p w:rsidR="009A0316" w:rsidRPr="009A1928" w:rsidRDefault="009A0316" w:rsidP="00437BB2">
      <w:pPr>
        <w:jc w:val="both"/>
      </w:pPr>
      <w:r w:rsidRPr="009A1928">
        <w:t>1. A partir de 1 de enero de 2019, la base máxima de cotización por contingencias comunes para todas las categorías de los profesionales taurinos a que se refiere el artículo 33.3 del Reglamento general sobre cotización y liquidación de otros derechos de la Seguridad Social será de 4.070,10 euros mensuales.</w:t>
      </w:r>
    </w:p>
    <w:p w:rsidR="009A0316" w:rsidRPr="009A1928" w:rsidRDefault="009A0316" w:rsidP="00437BB2">
      <w:pPr>
        <w:jc w:val="both"/>
      </w:pPr>
      <w:r w:rsidRPr="009A1928">
        <w:t>El tope máximo de las bases de cotización para los profesionales taurinos tendrá carácter anual y se determinará por la elevación a cómputo anual de la base mensual máxima señalada.</w:t>
      </w:r>
    </w:p>
    <w:p w:rsidR="009A0316" w:rsidRPr="009A1928" w:rsidRDefault="009A0316" w:rsidP="00437BB2">
      <w:pPr>
        <w:jc w:val="both"/>
      </w:pPr>
      <w:r w:rsidRPr="009A1928">
        <w:t>2. Las bases de cotización para determinar las liquidaciones provisionales por los profesionales taurinos, previstas en el artículo 33.5.b) del Reglamento general mencionado en el apartado anterior, serán, a partir de 1 de enero de 2019 y para cada grupo de cotización, las siguientes:</w:t>
      </w:r>
    </w:p>
    <w:tbl>
      <w:tblPr>
        <w:tblW w:w="5000" w:type="pct"/>
        <w:tblCellMar>
          <w:top w:w="15" w:type="dxa"/>
          <w:left w:w="15" w:type="dxa"/>
          <w:bottom w:w="15" w:type="dxa"/>
          <w:right w:w="15" w:type="dxa"/>
        </w:tblCellMar>
        <w:tblLook w:val="04A0" w:firstRow="1" w:lastRow="0" w:firstColumn="1" w:lastColumn="0" w:noHBand="0" w:noVBand="1"/>
      </w:tblPr>
      <w:tblGrid>
        <w:gridCol w:w="5744"/>
        <w:gridCol w:w="2760"/>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Euros/día</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1.256,00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1.157,00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868,00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519,00</w:t>
            </w:r>
          </w:p>
        </w:tc>
      </w:tr>
    </w:tbl>
    <w:p w:rsidR="009A0316" w:rsidRPr="009A1928" w:rsidRDefault="009A0316" w:rsidP="00437BB2">
      <w:pPr>
        <w:jc w:val="both"/>
      </w:pPr>
      <w:r w:rsidRPr="009A1928">
        <w:t xml:space="preserve">Artículo 12 Cotización en el Sistema Especial para las tareas de manipulado y empaquetado de tomate fresco dentro del Régimen General de la Seguridad Social </w:t>
      </w:r>
    </w:p>
    <w:p w:rsidR="009A0316" w:rsidRPr="009A1928" w:rsidRDefault="009A0316" w:rsidP="00437BB2">
      <w:pPr>
        <w:jc w:val="both"/>
      </w:pPr>
      <w:r w:rsidRPr="009A1928">
        <w:t>De conformidad con lo dispuesto en la disposición adicional cuarta del Real Decreto-ley 28/2018, de 28 de diciembre, a partir del 1 de enero de 2019, la cotización en el Sistema Especial para manipulado y empaquetado del tomate fresco con destino a la exportación, dentro del Régimen General de la Seguridad Social, se efectuará de la siguiente manera:</w:t>
      </w:r>
    </w:p>
    <w:p w:rsidR="009A0316" w:rsidRPr="009A1928" w:rsidRDefault="009A0316" w:rsidP="00437BB2">
      <w:pPr>
        <w:jc w:val="both"/>
      </w:pPr>
      <w:r w:rsidRPr="009A1928">
        <w:t>1. La aportación a la cotización por todas las contingencias de los empresarios incluidos en este sistema especial se llevará a cabo de acuerdo con lo establecido con carácter general para el Régimen General de la Seguridad Social y mediante el sistema de liquidación directa de cuotas a que se refiere el artículo 22.1.b) del texto refundido de la Ley General de la Seguridad Social.</w:t>
      </w:r>
    </w:p>
    <w:p w:rsidR="009A0316" w:rsidRPr="009A1928" w:rsidRDefault="009A0316" w:rsidP="00437BB2">
      <w:pPr>
        <w:jc w:val="both"/>
      </w:pPr>
      <w:r w:rsidRPr="009A1928">
        <w:t>2. Durante el año 2019, los empresarios encuadrados en ese sistema especial tendrán derecho a una reducción del 80 por ciento y una bonificación del 10 por ciento en dicha aportación empresarial a la cotización por contingencias comunes.</w:t>
      </w:r>
    </w:p>
    <w:p w:rsidR="009A0316" w:rsidRPr="009A1928" w:rsidRDefault="009A0316" w:rsidP="00437BB2">
      <w:pPr>
        <w:jc w:val="both"/>
      </w:pPr>
      <w:r w:rsidRPr="009A1928">
        <w:t xml:space="preserve">Artículo 13 Bases y tipos de cotización en el Sistema Especial para Trabajadores por Cuenta Ajena Agrarios establecido en el Régimen General de la Seguridad Social </w:t>
      </w:r>
    </w:p>
    <w:p w:rsidR="009A0316" w:rsidRPr="009A1928" w:rsidRDefault="009A0316" w:rsidP="00437BB2">
      <w:pPr>
        <w:jc w:val="both"/>
      </w:pPr>
      <w:r w:rsidRPr="009A1928">
        <w:t>1. Base de cotización por contingencias tanto comunes como profesionales durante los períodos de actividad:</w:t>
      </w:r>
    </w:p>
    <w:p w:rsidR="009A0316" w:rsidRPr="009A1928" w:rsidRDefault="009A0316" w:rsidP="00437BB2">
      <w:pPr>
        <w:jc w:val="both"/>
      </w:pPr>
      <w:r w:rsidRPr="009A1928">
        <w:t>a) A partir de 1 de enero de 2019, las bases mensuales aplicables para los trabajadores incluidos en este sistema especial que presten servicios durante todo el mes, se determinarán conforme a lo establecido en el artículo 147 del texto refundido de la Ley General de la Seguridad Social, con aplicación de las siguientes bases máximas y mínimas:</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1257"/>
        <w:gridCol w:w="5029"/>
        <w:gridCol w:w="1102"/>
        <w:gridCol w:w="1116"/>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Categorías profesionales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mínimas</w:t>
            </w:r>
          </w:p>
          <w:p w:rsidR="009A0316" w:rsidRPr="009A1928" w:rsidRDefault="009A0316" w:rsidP="00437BB2">
            <w:pPr>
              <w:jc w:val="both"/>
            </w:pPr>
            <w:r w:rsidRPr="009A1928">
              <w:t>–</w:t>
            </w:r>
          </w:p>
          <w:p w:rsidR="009A0316" w:rsidRPr="009A1928" w:rsidRDefault="009A0316" w:rsidP="00437BB2">
            <w:pPr>
              <w:jc w:val="both"/>
            </w:pPr>
            <w:r w:rsidRPr="009A1928">
              <w:t>Euros/mes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máximas</w:t>
            </w:r>
          </w:p>
          <w:p w:rsidR="009A0316" w:rsidRPr="009A1928" w:rsidRDefault="009A0316" w:rsidP="00437BB2">
            <w:pPr>
              <w:jc w:val="both"/>
            </w:pPr>
            <w:r w:rsidRPr="009A1928">
              <w:t>–</w:t>
            </w:r>
          </w:p>
          <w:p w:rsidR="009A0316" w:rsidRPr="009A1928" w:rsidRDefault="009A0316" w:rsidP="00437BB2">
            <w:pPr>
              <w:jc w:val="both"/>
            </w:pPr>
            <w:r w:rsidRPr="009A1928">
              <w:t>Euros/mes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y Licenciados. Personal de alta dirección no incluido en el artículo 1.3.c) del Estatuto de los Trabajadores.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1.466,40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Técnicos, Peritos y Ayudantes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1.215,90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Jefes Administrativos y de Taller.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1.057,80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Ayudantes no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Subalternos.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Auxiliares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primera y segunda.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tercera y Especialistas.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Peones.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Trabajadores menores de 18 años.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4.070,10</w:t>
            </w:r>
          </w:p>
        </w:tc>
      </w:tr>
    </w:tbl>
    <w:p w:rsidR="009A0316" w:rsidRPr="009A1928" w:rsidRDefault="009A0316" w:rsidP="00437BB2">
      <w:pPr>
        <w:jc w:val="both"/>
      </w:pPr>
      <w:r w:rsidRPr="009A1928">
        <w:t>Las empresas que opten por esta modalidad de cotización mensual deberán comunicar dicha opción a la Tesorería General de la Seguridad Social al inicio de la actividad de los trabajadores, en los términos y condiciones que determine dicho servicio común de la Seguridad Social.</w:t>
      </w:r>
    </w:p>
    <w:p w:rsidR="009A0316" w:rsidRPr="009A1928" w:rsidRDefault="009A0316" w:rsidP="00437BB2">
      <w:pPr>
        <w:jc w:val="both"/>
      </w:pPr>
      <w:r w:rsidRPr="009A1928">
        <w:t>Esta modalidad de cotización deberá mantenerse durante todo el período de prestación de servicios, cuya finalización deberá comunicarse igualmente a la Tesorería General de la Seguridad Social, en los términos y condiciones que esta determine.</w:t>
      </w:r>
    </w:p>
    <w:p w:rsidR="009A0316" w:rsidRPr="009A1928" w:rsidRDefault="009A0316" w:rsidP="00437BB2">
      <w:pPr>
        <w:jc w:val="both"/>
      </w:pPr>
      <w:r w:rsidRPr="009A1928">
        <w:t>Cuando los trabajadores inicien o finalicen su actividad sin coincidir con el principio o fin de un mes natural, siempre que dicha actividad tenga una duración de, al menos, treinta días naturales consecutivos, la cotización se realizará con carácter proporcional a los días trabajados en el mes.</w:t>
      </w:r>
    </w:p>
    <w:p w:rsidR="009A0316" w:rsidRPr="009A1928" w:rsidRDefault="009A0316" w:rsidP="00437BB2">
      <w:pPr>
        <w:jc w:val="both"/>
      </w:pPr>
      <w:r w:rsidRPr="009A1928">
        <w:t>Esta modalidad de cotización mensual resultará de aplicación con carácter obligatorio para los trabajadores por cuenta ajena con contrato indefinido, sin incluir entre estos a los que presten servicios con carácter fijo discontinuo, respecto a los cuales tendrá carácter opcional.</w:t>
      </w:r>
    </w:p>
    <w:p w:rsidR="009A0316" w:rsidRPr="009A1928" w:rsidRDefault="009A0316" w:rsidP="00437BB2">
      <w:pPr>
        <w:jc w:val="both"/>
      </w:pPr>
      <w:r w:rsidRPr="009A1928">
        <w:t>b) A partir de 1 de enero de 2019, las bases diarias de cotización por jornadas reales correspondientes a cada uno de los grupos de trabajadores que realicen labores agrarias por cuenta ajena y respecto a los cuales no se hubiera optado por la modalidad de cotización prevista en el apartado 1.a) anterior, se determinarán conforme a lo establecido en el artículo 147 del texto refundido de la Ley General de la Seguridad Social, con aplicación de las siguientes bases máximas y mínimas:</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1169"/>
        <w:gridCol w:w="4145"/>
        <w:gridCol w:w="1590"/>
        <w:gridCol w:w="1600"/>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Categorías profesionales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mínimas diarias de cotización</w:t>
            </w:r>
          </w:p>
          <w:p w:rsidR="009A0316" w:rsidRPr="009A1928" w:rsidRDefault="009A0316" w:rsidP="00437BB2">
            <w:pPr>
              <w:jc w:val="both"/>
            </w:pPr>
            <w:r w:rsidRPr="009A1928">
              <w:t>–</w:t>
            </w:r>
          </w:p>
          <w:p w:rsidR="009A0316" w:rsidRPr="009A1928" w:rsidRDefault="009A0316" w:rsidP="00437BB2">
            <w:pPr>
              <w:jc w:val="both"/>
            </w:pPr>
            <w:r w:rsidRPr="009A1928">
              <w:t>Euros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Bases máximas diarias de cotización</w:t>
            </w:r>
          </w:p>
          <w:p w:rsidR="009A0316" w:rsidRPr="009A1928" w:rsidRDefault="009A0316" w:rsidP="00437BB2">
            <w:pPr>
              <w:jc w:val="both"/>
            </w:pPr>
            <w:r w:rsidRPr="009A1928">
              <w:t>–</w:t>
            </w:r>
          </w:p>
          <w:p w:rsidR="009A0316" w:rsidRPr="009A1928" w:rsidRDefault="009A0316" w:rsidP="00437BB2">
            <w:pPr>
              <w:jc w:val="both"/>
            </w:pPr>
            <w:r w:rsidRPr="009A1928">
              <w:t>Euros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y Licenciados. Personal de alta dirección no incluido en el artículo 1.3.c) del Estatuto de los Trabajadores.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63,76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Técnicos, Peritos y Ayudantes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52,87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Jefes Administrativos y de Taller.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45,99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Ayudantes no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Subalternos.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Auxiliares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primera y segunda.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tercera y Especialistas.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Peones.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Trabajadores menores de 18 años.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176,96</w:t>
            </w:r>
          </w:p>
        </w:tc>
      </w:tr>
    </w:tbl>
    <w:p w:rsidR="009A0316" w:rsidRPr="009A1928" w:rsidRDefault="009A0316" w:rsidP="00437BB2">
      <w:pPr>
        <w:jc w:val="both"/>
      </w:pPr>
      <w:r w:rsidRPr="009A1928">
        <w:t>Cuando se realicen en el mes natural 22 o más jornadas reales, la base de cotización correspondiente a las mismas será la establecida en el apartado 1.a) de este artículo.</w:t>
      </w:r>
    </w:p>
    <w:p w:rsidR="009A0316" w:rsidRPr="009A1928" w:rsidRDefault="009A0316" w:rsidP="00437BB2">
      <w:pPr>
        <w:jc w:val="both"/>
      </w:pPr>
      <w:r w:rsidRPr="009A1928">
        <w:t>2. En el año 2019, la base mensual de cotización aplicable para los trabajadores por cuenta ajena incluidos en este sistema especial, durante los períodos de inactividad, será de 1.050,00 euros.</w:t>
      </w:r>
    </w:p>
    <w:p w:rsidR="009A0316" w:rsidRPr="009A1928" w:rsidRDefault="009A0316" w:rsidP="00437BB2">
      <w:pPr>
        <w:jc w:val="both"/>
      </w:pPr>
      <w:r w:rsidRPr="009A1928">
        <w:t>A estos efectos, se entenderá que existen periodos de inactividad dentro de un mes natural cuando el número de días naturales en que el trabajador figure de alta en el sistema especial en dicho mes sea superior al número de jornadas reales en el mismo multiplicado por 1,3636.</w:t>
      </w:r>
    </w:p>
    <w:p w:rsidR="009A0316" w:rsidRPr="009A1928" w:rsidRDefault="009A0316" w:rsidP="00437BB2">
      <w:pPr>
        <w:jc w:val="both"/>
      </w:pPr>
      <w:r w:rsidRPr="009A1928">
        <w:t>El número de días de inactividad del mes es la diferencia entre los días en alta laboral en el mes y el número de jornadas reales en el mes multiplicadas por 1,3636.</w:t>
      </w:r>
    </w:p>
    <w:p w:rsidR="009A0316" w:rsidRPr="009A1928" w:rsidRDefault="009A0316" w:rsidP="00437BB2">
      <w:pPr>
        <w:jc w:val="both"/>
      </w:pPr>
      <w:r w:rsidRPr="009A1928">
        <w:t>La cotización por los días de inactividad en el mes es el resultado de multiplicar el número de días de inactividad en el mes por la base de cotización diaria correspondiente al Régimen General y por el tipo de cotización aplicable.</w:t>
      </w:r>
    </w:p>
    <w:p w:rsidR="009A0316" w:rsidRPr="009A1928" w:rsidRDefault="009A0316" w:rsidP="00437BB2">
      <w:pPr>
        <w:jc w:val="both"/>
      </w:pPr>
      <w:r w:rsidRPr="009A1928">
        <w:t>3. Los tipos aplicables a la cotización de los trabajadores por cuenta ajena incluidos en este sistema especial serán los siguientes:</w:t>
      </w:r>
    </w:p>
    <w:p w:rsidR="009A0316" w:rsidRPr="009A1928" w:rsidRDefault="009A0316" w:rsidP="00437BB2">
      <w:pPr>
        <w:jc w:val="both"/>
      </w:pPr>
      <w:r w:rsidRPr="009A1928">
        <w:t>a) Durante los períodos de actividad:</w:t>
      </w:r>
    </w:p>
    <w:p w:rsidR="009A0316" w:rsidRPr="009A1928" w:rsidRDefault="009A0316" w:rsidP="00437BB2">
      <w:pPr>
        <w:jc w:val="both"/>
      </w:pPr>
      <w:r w:rsidRPr="009A1928">
        <w:t>Para la cotización por contingencias comunes, respecto a los trabajadores encuadrados en el grupo de cotización 1, el 28,30 por ciento, siendo el 23,60 por ciento a cargo de la empresa y el 4,70 por ciento a cargo del trabajador.</w:t>
      </w:r>
    </w:p>
    <w:p w:rsidR="009A0316" w:rsidRPr="009A1928" w:rsidRDefault="009A0316" w:rsidP="00437BB2">
      <w:pPr>
        <w:jc w:val="both"/>
      </w:pPr>
      <w:r w:rsidRPr="009A1928">
        <w:t>Respecto a los trabajadores encuadrados en los grupos de cotización 2 a 11, el 23,80 por ciento, siendo el 19,10 por ciento a cargo de la empresa y el 4,70 por ciento a cargo del trabajador.</w:t>
      </w:r>
    </w:p>
    <w:p w:rsidR="009A0316" w:rsidRPr="009A1928" w:rsidRDefault="009A0316" w:rsidP="00437BB2">
      <w:pPr>
        <w:jc w:val="both"/>
      </w:pPr>
      <w:r w:rsidRPr="009A1928">
        <w:t>Para la cotización por contingencias de accidentes de trabajo y enfermedades profesionales, se aplicarán los tipos de la tarifa de primas establecida en la disposición adicional cuarta de la Ley 42/2006, de 28 de diciembre, siendo las primas resultantes a cargo exclusivo de la empresa.</w:t>
      </w:r>
    </w:p>
    <w:p w:rsidR="009A0316" w:rsidRPr="009A1928" w:rsidRDefault="009A0316" w:rsidP="00437BB2">
      <w:pPr>
        <w:jc w:val="both"/>
      </w:pPr>
      <w:r w:rsidRPr="009A1928">
        <w:t>b) Durante los períodos de inactividad, el tipo de cotización será el 11,50 por ciento, siendo la cotización resultante a cargo exclusivo del trabajador.</w:t>
      </w:r>
    </w:p>
    <w:p w:rsidR="009A0316" w:rsidRPr="009A1928" w:rsidRDefault="009A0316" w:rsidP="00437BB2">
      <w:pPr>
        <w:jc w:val="both"/>
      </w:pPr>
      <w:r w:rsidRPr="009A1928">
        <w:t>4. Durante el año 2019 se aplicarán las siguientes reducciones en las aportaciones empresariales a la cotización a este sistema especial durante los períodos de actividad con prestación de servicios:</w:t>
      </w:r>
    </w:p>
    <w:p w:rsidR="009A0316" w:rsidRPr="009A1928" w:rsidRDefault="009A0316" w:rsidP="00437BB2">
      <w:pPr>
        <w:jc w:val="both"/>
      </w:pPr>
      <w:r w:rsidRPr="009A1928">
        <w:t>a) En la cotización respecto a los trabajadores encuadrados en el grupo de cotización 1, se aplicará una reducción de 8,10 puntos porcentuales de la base de cotización, resultando un tipo efectivo de cotización por contingencias comunes del 15,50 por ciento.</w:t>
      </w:r>
    </w:p>
    <w:p w:rsidR="009A0316" w:rsidRPr="009A1928" w:rsidRDefault="009A0316" w:rsidP="00437BB2">
      <w:pPr>
        <w:jc w:val="both"/>
      </w:pPr>
      <w:r w:rsidRPr="009A1928">
        <w:t>En ningún caso la cuota empresarial resultante será superior a 279,00 euros al mes o 12,68 euros por jornada real trabajada.</w:t>
      </w:r>
    </w:p>
    <w:p w:rsidR="009A0316" w:rsidRPr="009A1928" w:rsidRDefault="009A0316" w:rsidP="00437BB2">
      <w:pPr>
        <w:jc w:val="both"/>
      </w:pPr>
      <w:r w:rsidRPr="009A1928">
        <w:t>b) En la cotización respecto a los trabajadores encuadrados en los grupos de cotización 2 al 11, la reducción se ajustará a las siguientes reglas:</w:t>
      </w:r>
    </w:p>
    <w:p w:rsidR="009A0316" w:rsidRPr="009A1928" w:rsidRDefault="009A0316" w:rsidP="00437BB2">
      <w:pPr>
        <w:jc w:val="both"/>
      </w:pPr>
      <w:r w:rsidRPr="009A1928">
        <w:t>Para bases mensuales de cotización la fórmula a aplicar será:</w:t>
      </w:r>
    </w:p>
    <w:p w:rsidR="009A0316" w:rsidRPr="009A1928" w:rsidRDefault="009A0316" w:rsidP="00437BB2">
      <w:pPr>
        <w:jc w:val="both"/>
      </w:pPr>
      <w:r w:rsidRPr="009A1928">
        <w:rPr>
          <w:noProof/>
        </w:rPr>
        <w:drawing>
          <wp:inline distT="0" distB="0" distL="0" distR="0" wp14:anchorId="31B7CDFC" wp14:editId="71FE9862">
            <wp:extent cx="5715000" cy="676275"/>
            <wp:effectExtent l="0" t="0" r="0" b="9525"/>
            <wp:docPr id="29" name="im0001457574" descr="http://imgs.wke.es/7/5/7/4/im000145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1457574" descr="http://imgs.wke.es/7/5/7/4/im00014575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a:noFill/>
                    </a:ln>
                  </pic:spPr>
                </pic:pic>
              </a:graphicData>
            </a:graphic>
          </wp:inline>
        </w:drawing>
      </w:r>
    </w:p>
    <w:p w:rsidR="009A0316" w:rsidRPr="009A1928" w:rsidRDefault="009A0316" w:rsidP="00437BB2">
      <w:pPr>
        <w:jc w:val="both"/>
      </w:pPr>
      <w:r w:rsidRPr="009A1928">
        <w:t>Para bases de cotización por jornadas reales la fórmula a aplicar será:</w:t>
      </w:r>
    </w:p>
    <w:p w:rsidR="009A0316" w:rsidRPr="009A1928" w:rsidRDefault="009A0316" w:rsidP="00437BB2">
      <w:pPr>
        <w:jc w:val="both"/>
      </w:pPr>
      <w:r w:rsidRPr="009A1928">
        <w:rPr>
          <w:noProof/>
        </w:rPr>
        <w:drawing>
          <wp:inline distT="0" distB="0" distL="0" distR="0" wp14:anchorId="73661C27" wp14:editId="7FD12305">
            <wp:extent cx="5715000" cy="647700"/>
            <wp:effectExtent l="0" t="0" r="0" b="0"/>
            <wp:docPr id="30" name="im0001457575" descr="http://imgs.wke.es/7/5/7/5/im000145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1457575" descr="http://imgs.wke.es/7/5/7/5/im00014575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47700"/>
                    </a:xfrm>
                    <a:prstGeom prst="rect">
                      <a:avLst/>
                    </a:prstGeom>
                    <a:noFill/>
                    <a:ln>
                      <a:noFill/>
                    </a:ln>
                  </pic:spPr>
                </pic:pic>
              </a:graphicData>
            </a:graphic>
          </wp:inline>
        </w:drawing>
      </w:r>
    </w:p>
    <w:p w:rsidR="009A0316" w:rsidRPr="009A1928" w:rsidRDefault="009A0316" w:rsidP="00437BB2">
      <w:pPr>
        <w:jc w:val="both"/>
      </w:pPr>
      <w:r w:rsidRPr="009A1928">
        <w:t xml:space="preserve">No </w:t>
      </w:r>
      <w:r w:rsidR="00374580" w:rsidRPr="009A1928">
        <w:t>obstante,</w:t>
      </w:r>
      <w:r w:rsidRPr="009A1928">
        <w:t xml:space="preserve"> la cuota empresarial resultante no podrá ser inferior a 88,15 euros mensuales o 4,01 euros por jornada real trabajada.</w:t>
      </w:r>
    </w:p>
    <w:p w:rsidR="009A0316" w:rsidRPr="009A1928" w:rsidRDefault="009A0316" w:rsidP="00437BB2">
      <w:pPr>
        <w:jc w:val="both"/>
      </w:pPr>
      <w:r w:rsidRPr="009A1928">
        <w:t>5. Durante las situaciones de incapacidad temporal, riesgo durante el embarazo y riesgo durante la lactancia natural, así como de maternidad y paternidad causadas durante la situación de actividad, la cotización se efectuará en función de la modalidad de contratación de los trabajadores:</w:t>
      </w:r>
    </w:p>
    <w:p w:rsidR="009A0316" w:rsidRPr="009A1928" w:rsidRDefault="009A0316" w:rsidP="00437BB2">
      <w:pPr>
        <w:jc w:val="both"/>
      </w:pPr>
      <w:r w:rsidRPr="009A1928">
        <w:t>a) Respecto de los trabajadores agrarios con contrato indefinido, la cotización durante las referidas situaciones se regirá por las normas aplicables con carácter general en el Régimen General de la Seguridad Social.</w:t>
      </w:r>
    </w:p>
    <w:p w:rsidR="009A0316" w:rsidRPr="009A1928" w:rsidRDefault="009A0316" w:rsidP="00437BB2">
      <w:pPr>
        <w:jc w:val="both"/>
      </w:pPr>
      <w:r w:rsidRPr="009A1928">
        <w:t>De acuerdo con lo establecido en el artículo 5 del Real Decreto-ley 28/2018, de 28 de diciembre, en esta cotización el tipo resultante a aplicar será:</w:t>
      </w:r>
    </w:p>
    <w:p w:rsidR="009A0316" w:rsidRPr="009A1928" w:rsidRDefault="009A0316" w:rsidP="00437BB2">
      <w:pPr>
        <w:jc w:val="both"/>
      </w:pPr>
      <w:r w:rsidRPr="009A1928">
        <w:t>1.º Para los trabajadores encuadrados en el grupo de cotización 1, el tipo del 15,50 por ciento, aplicable a la base de cotización por contingencias comunes.</w:t>
      </w:r>
    </w:p>
    <w:p w:rsidR="009A0316" w:rsidRPr="009A1928" w:rsidRDefault="009A0316" w:rsidP="00437BB2">
      <w:pPr>
        <w:jc w:val="both"/>
      </w:pPr>
      <w:r w:rsidRPr="009A1928">
        <w:t>2.º Para los trabajadores encuadrados en los grupos de cotización 2 a 11, el tipo del 2,75 por ciento, aplicable a la base de cotización por contingencias comunes.</w:t>
      </w:r>
    </w:p>
    <w:p w:rsidR="009A0316" w:rsidRPr="009A1928" w:rsidRDefault="009A0316" w:rsidP="00437BB2">
      <w:pPr>
        <w:jc w:val="both"/>
      </w:pPr>
      <w:r w:rsidRPr="009A1928">
        <w:t>b) Respecto de los trabajadores agrarios con contrato temporal y fijo discontinuo, resultará de aplicación lo establecido en el párrafo a) en relación a los días contratados en los que no hayan podido prestar sus servicios por encontrarse en alguna de las situaciones antes indicadas.</w:t>
      </w:r>
    </w:p>
    <w:p w:rsidR="009A0316" w:rsidRPr="009A1928" w:rsidRDefault="009A0316" w:rsidP="00437BB2">
      <w:pPr>
        <w:jc w:val="both"/>
      </w:pPr>
      <w:r w:rsidRPr="009A1928">
        <w:t>En cuanto a los días en los que no esté prevista la prestación de servicios, estos trabajadores estarán obligados a ingresar la cotización correspondiente a los períodos de inactividad, excepto en los supuestos de percepción de los subsidios por maternidad y paternidad, que tendrán la consideración de períodos de cotización efectiva a efectos de las correspondientes prestaciones por jubilación, incapacidad permanente y muerte y supervivencia.</w:t>
      </w:r>
    </w:p>
    <w:p w:rsidR="009A0316" w:rsidRPr="009A1928" w:rsidRDefault="009A0316" w:rsidP="00437BB2">
      <w:pPr>
        <w:jc w:val="both"/>
      </w:pPr>
      <w:r w:rsidRPr="009A1928">
        <w:t>6. Durante la percepción de la prestación por desempleo de nivel contributivo, si corresponde cotizar en este sistema especial, la base de cotización será la establecida en el artículo 8.</w:t>
      </w:r>
    </w:p>
    <w:p w:rsidR="009A0316" w:rsidRPr="009A1928" w:rsidRDefault="009A0316" w:rsidP="00437BB2">
      <w:pPr>
        <w:jc w:val="both"/>
      </w:pPr>
      <w:r w:rsidRPr="009A1928">
        <w:t>El tipo de cotización será el 11,50 por ciento.</w:t>
      </w:r>
    </w:p>
    <w:p w:rsidR="009A0316" w:rsidRPr="009A1928" w:rsidRDefault="009A0316" w:rsidP="00437BB2">
      <w:pPr>
        <w:jc w:val="both"/>
      </w:pPr>
      <w:r w:rsidRPr="009A1928">
        <w:t>7. Con relación a los trabajadores incluidos en el sistema especial, no resultará de aplicación la cotización adicional por horas extraordinarias a que se refiere el artículo 130.dos.3 de la Ley 6/2018, de 3 de julio.</w:t>
      </w:r>
    </w:p>
    <w:p w:rsidR="009A0316" w:rsidRPr="009A1928" w:rsidRDefault="009A0316" w:rsidP="00437BB2">
      <w:pPr>
        <w:jc w:val="both"/>
      </w:pPr>
      <w:r w:rsidRPr="009A1928">
        <w:t xml:space="preserve">Artículo 14 Bases y tipos de cotización en el Sistema Especial para Empleados de Hogar establecido en el Régimen General de la Seguridad Social </w:t>
      </w:r>
    </w:p>
    <w:p w:rsidR="009A0316" w:rsidRPr="009A1928" w:rsidRDefault="009A0316" w:rsidP="00437BB2">
      <w:pPr>
        <w:jc w:val="both"/>
      </w:pPr>
      <w:r w:rsidRPr="009A1928">
        <w:t>1. A partir de 1 de enero de 2019, las bases de cotización por contingencias comunes a este sistema especial serán las determinadas en la escala siguiente, en función de la retribución percibida por los empleados de hogar por cada relación laboral.</w:t>
      </w:r>
    </w:p>
    <w:tbl>
      <w:tblPr>
        <w:tblW w:w="5000" w:type="pct"/>
        <w:tblCellMar>
          <w:top w:w="15" w:type="dxa"/>
          <w:left w:w="15" w:type="dxa"/>
          <w:bottom w:w="15" w:type="dxa"/>
          <w:right w:w="15" w:type="dxa"/>
        </w:tblCellMar>
        <w:tblLook w:val="04A0" w:firstRow="1" w:lastRow="0" w:firstColumn="1" w:lastColumn="0" w:noHBand="0" w:noVBand="1"/>
      </w:tblPr>
      <w:tblGrid>
        <w:gridCol w:w="613"/>
        <w:gridCol w:w="2896"/>
        <w:gridCol w:w="1943"/>
        <w:gridCol w:w="3052"/>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Tramo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Retribución mensual</w:t>
            </w:r>
          </w:p>
          <w:p w:rsidR="009A0316" w:rsidRPr="009A1928" w:rsidRDefault="009A0316" w:rsidP="00437BB2">
            <w:pPr>
              <w:jc w:val="both"/>
            </w:pPr>
            <w:r w:rsidRPr="009A1928">
              <w:t>(€/mes)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 de cotización</w:t>
            </w:r>
          </w:p>
          <w:p w:rsidR="009A0316" w:rsidRPr="009A1928" w:rsidRDefault="009A0316" w:rsidP="00437BB2">
            <w:pPr>
              <w:jc w:val="both"/>
            </w:pPr>
            <w:r w:rsidRPr="009A1928">
              <w:t>(€/mes)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Máximo horas trabajadas al mes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Hasta 240,00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206,00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34</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240,01 hasta 375,00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340,00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375,01 hasta 510,00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474,00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510,01 hasta 645,00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608,00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645,01 hasta 780,00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743,00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780,01 hasta 914,00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877,00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914,01 hasta 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1.050,00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1.050,01 hasta 1.144,00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1.097,00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1.144,01 hasta 1.294,00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1.232,00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160</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10.º</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Desde 1.294,01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Retribución mensual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160</w:t>
            </w:r>
          </w:p>
        </w:tc>
      </w:tr>
    </w:tbl>
    <w:p w:rsidR="009A0316" w:rsidRPr="009A1928" w:rsidRDefault="009A0316" w:rsidP="00437BB2">
      <w:pPr>
        <w:jc w:val="both"/>
      </w:pPr>
      <w:r w:rsidRPr="009A1928">
        <w:t>A efectos de la determinación de la retribución mensual del empleado de hogar, el importe percibido mensualmente deberá ser incrementado, conforme a lo establecido en el artículo 147.1 del texto refundido de la Ley General de la Seguridad Social, con la parte proporcional de las pagas extraordinarias que tenga derecho a percibir el empleado.</w:t>
      </w:r>
    </w:p>
    <w:p w:rsidR="009A0316" w:rsidRPr="009A1928" w:rsidRDefault="009A0316" w:rsidP="00437BB2">
      <w:pPr>
        <w:jc w:val="both"/>
      </w:pPr>
      <w:r w:rsidRPr="009A1928">
        <w:t>2. Durante el año 2019, el tipo de cotización por contingencias comunes, sobre la base de cotización que corresponda según lo indicado en el apartado anterior, será el 28,30 por ciento, siendo el 23,60 por ciento a cargo del empleador y el 4,70 por ciento a cargo del empleado.</w:t>
      </w:r>
    </w:p>
    <w:p w:rsidR="009A0316" w:rsidRPr="009A1928" w:rsidRDefault="009A0316" w:rsidP="00437BB2">
      <w:pPr>
        <w:jc w:val="both"/>
      </w:pPr>
      <w:r w:rsidRPr="009A1928">
        <w:t>3. Para la cotización por contingencias profesionales, sobre la base de cotización que corresponda según el apartado 1, se aplicará el tipo de cotización previsto en la tarifa de primas aprobada por la disposición adicional cuarta de la Ley 42/2006, de 28 de diciembre, siendo la cuota resultante a cargo exclusivo del empleador.</w:t>
      </w:r>
    </w:p>
    <w:p w:rsidR="009A0316" w:rsidRPr="009A1928" w:rsidRDefault="009A0316" w:rsidP="00437BB2">
      <w:pPr>
        <w:jc w:val="both"/>
      </w:pPr>
      <w:r w:rsidRPr="009A1928">
        <w:t>4. De conformidad con lo establecido en el artículo 4 del Real Decreto-ley 28/2018, de 28 de diciembre, durante el ejercicio de 2019 será aplicable una reducción del 20 por 100 en la aportación empresarial a la cotización a la Seguridad Social por contingencias comunes en este sistema especial.</w:t>
      </w:r>
    </w:p>
    <w:p w:rsidR="009A0316" w:rsidRPr="009A1928" w:rsidRDefault="009A0316" w:rsidP="00437BB2">
      <w:pPr>
        <w:jc w:val="both"/>
      </w:pPr>
      <w:r w:rsidRPr="009A1928">
        <w:t>Serán beneficiarios de dicha reducción los empleadores que hayan contratado, bajo cualquier modalidad contractual, y dado de alta en el Régimen General a un empleado de hogar a partir del 1 de enero de 2012, siempre y cuando el empleado no hubiera figurado en alta en el Régimen Especial de Empleados de Hogar a tiempo completo, para el mismo empleador, dentro del período comprendido entre el 2 de agosto y el 31 de diciembre de 2011.</w:t>
      </w:r>
    </w:p>
    <w:p w:rsidR="009A0316" w:rsidRPr="009A1928" w:rsidRDefault="009A0316" w:rsidP="00437BB2">
      <w:pPr>
        <w:jc w:val="both"/>
      </w:pPr>
      <w:r w:rsidRPr="009A1928">
        <w:t>Esta reducción de cuotas se ampliará con una bonificación hasta llegar al 45 por 100 para familias numerosas, en los términos previstos en el artículo 9 de la Ley 40/2003, de 18 de noviembre, de protección a las familias numerosas.</w:t>
      </w:r>
    </w:p>
    <w:p w:rsidR="009A0316" w:rsidRPr="009A1928" w:rsidRDefault="009A0316" w:rsidP="00437BB2">
      <w:pPr>
        <w:jc w:val="both"/>
      </w:pPr>
      <w:r w:rsidRPr="009A1928">
        <w:t>Estos beneficios en la cotización a la Seguridad Social a cargo del empleador, no serán de aplicación en los supuestos en que los empleados de hogar presten sus servicios durante menos de 60 horas mensuales por empleador y asuman el cumplimiento de las obligaciones en materia de encuadramiento, cotización y recaudación en dicho sistema especial, de acuerdo con lo establecido en la disposición adicional vigésima cuarta de la Ley General de la Seguridad Social.</w:t>
      </w:r>
    </w:p>
    <w:p w:rsidR="009A0316" w:rsidRPr="009A1928" w:rsidRDefault="009A0316" w:rsidP="00437BB2">
      <w:pPr>
        <w:jc w:val="both"/>
      </w:pPr>
      <w:r w:rsidRPr="009A1928">
        <w:t>Sección 2</w:t>
      </w:r>
      <w:r w:rsidRPr="009A1928">
        <w:br/>
      </w:r>
      <w:r w:rsidRPr="009A1928">
        <w:br/>
        <w:t>Régimen Especial de la Seguridad Social de los Trabajadores por Cuenta Propia o Autónomos</w:t>
      </w:r>
    </w:p>
    <w:p w:rsidR="009A0316" w:rsidRPr="009A1928" w:rsidRDefault="009A0316" w:rsidP="00437BB2">
      <w:pPr>
        <w:jc w:val="both"/>
      </w:pPr>
      <w:r w:rsidRPr="009A1928">
        <w:t xml:space="preserve">Artículo 15 Bases y tipos de cotización </w:t>
      </w:r>
    </w:p>
    <w:p w:rsidR="009A0316" w:rsidRPr="009A1928" w:rsidRDefault="009A0316" w:rsidP="00437BB2">
      <w:pPr>
        <w:jc w:val="both"/>
      </w:pPr>
      <w:r w:rsidRPr="009A1928">
        <w:t>A partir de 1 de enero de 2019, las bases y los tipos de cotización por contingencias comunes y profesionales en este régimen especial serán los siguientes:</w:t>
      </w:r>
    </w:p>
    <w:p w:rsidR="009A0316" w:rsidRPr="009A1928" w:rsidRDefault="009A0316" w:rsidP="00437BB2">
      <w:pPr>
        <w:jc w:val="both"/>
      </w:pPr>
      <w:r w:rsidRPr="009A1928">
        <w:t>1. Tipos de cotización:</w:t>
      </w:r>
    </w:p>
    <w:p w:rsidR="009A0316" w:rsidRPr="009A1928" w:rsidRDefault="009A0316" w:rsidP="00437BB2">
      <w:pPr>
        <w:jc w:val="both"/>
      </w:pPr>
      <w:r w:rsidRPr="009A1928">
        <w:t>a) Para las contingencias comunes, el 28,30 por ciento. Cuando, conforme a lo dispuesto en el artículo 315 del texto refundido de la Ley General de la Seguridad Social, se tenga cubierta la incapacidad temporal en otro régimen de la Seguridad Social, se aplicará una reducción en la cuota que correspondería ingresar de acuerdo con el tipo para contingencias comunes equivalente a multiplicar el coeficiente reductor del 0,045 por dicha cuota.</w:t>
      </w:r>
    </w:p>
    <w:p w:rsidR="009A0316" w:rsidRPr="009A1928" w:rsidRDefault="009A0316" w:rsidP="00437BB2">
      <w:pPr>
        <w:jc w:val="both"/>
      </w:pPr>
      <w:r w:rsidRPr="009A1928">
        <w:t>b) Para las contingencias profesionales, el 0,9 por ciento, del que el 0,46 por ciento corresponde a la contingencia de incapacidad temporal y el 0,44 a las de incapacidad permanente y muerte y supervivencia.</w:t>
      </w:r>
    </w:p>
    <w:p w:rsidR="009A0316" w:rsidRPr="009A1928" w:rsidRDefault="009A0316" w:rsidP="00437BB2">
      <w:pPr>
        <w:jc w:val="both"/>
      </w:pPr>
      <w:r w:rsidRPr="009A1928">
        <w:t>Los trabajadores incluidos en este régimen especial que no tengan cubierta la protección dispensada a las contingencias derivadas de accidentes de trabajo y enfermedades profesionales efectuarán una cotización adicional equivalente al 0,10 por ciento, aplicado sobre la base de cotización elegida, para la financiación de las prestaciones previstas en los capítulos VIII y IX del título II del texto refundido de la Ley General de la Seguridad Social.</w:t>
      </w:r>
    </w:p>
    <w:p w:rsidR="009A0316" w:rsidRPr="009A1928" w:rsidRDefault="009A0316" w:rsidP="00437BB2">
      <w:pPr>
        <w:jc w:val="both"/>
      </w:pPr>
      <w:r w:rsidRPr="009A1928">
        <w:t>2. Bases de cotización aplicables con carácter general:</w:t>
      </w:r>
    </w:p>
    <w:p w:rsidR="009A0316" w:rsidRPr="009A1928" w:rsidRDefault="009A0316" w:rsidP="00437BB2">
      <w:pPr>
        <w:jc w:val="both"/>
      </w:pPr>
      <w:r w:rsidRPr="009A1928">
        <w:t>a) Base mínima de cotización: 944,40 euros mensuales.</w:t>
      </w:r>
    </w:p>
    <w:p w:rsidR="009A0316" w:rsidRPr="009A1928" w:rsidRDefault="009A0316" w:rsidP="00437BB2">
      <w:pPr>
        <w:jc w:val="both"/>
      </w:pPr>
      <w:r w:rsidRPr="009A1928">
        <w:t>b) Base máxima de cotización: 4.070,10 euros mensuales.</w:t>
      </w:r>
    </w:p>
    <w:p w:rsidR="009A0316" w:rsidRPr="009A1928" w:rsidRDefault="009A0316" w:rsidP="00437BB2">
      <w:pPr>
        <w:jc w:val="both"/>
      </w:pPr>
      <w:r w:rsidRPr="009A1928">
        <w:t>3. La base de cotización para los trabajadores autónomos que, a 1 de enero de 2019, sean menores de 47 años de edad será la elegida por estos, dentro de los límites que representan las bases mínima y máxima.</w:t>
      </w:r>
    </w:p>
    <w:p w:rsidR="009A0316" w:rsidRPr="009A1928" w:rsidRDefault="009A0316" w:rsidP="00437BB2">
      <w:pPr>
        <w:jc w:val="both"/>
      </w:pPr>
      <w:r w:rsidRPr="009A1928">
        <w:t>Igual elección podrán efectuar aquellos trabajadores autónomos que en esa fecha tengan una edad de 47 años y su base de cotización en el mes de diciembre de 2018 haya sido igual o superior a 2.052,00 euros mensuales, o causen alta en este régimen especial con posterioridad a la citada fecha.</w:t>
      </w:r>
    </w:p>
    <w:p w:rsidR="009A0316" w:rsidRPr="009A1928" w:rsidRDefault="009A0316" w:rsidP="00437BB2">
      <w:pPr>
        <w:jc w:val="both"/>
      </w:pPr>
      <w:r w:rsidRPr="009A1928">
        <w:t>En otro caso su base máxima de cotización será de 2.077,80 euros mensuales.</w:t>
      </w:r>
    </w:p>
    <w:p w:rsidR="009A0316" w:rsidRPr="009A1928" w:rsidRDefault="009A0316" w:rsidP="00437BB2">
      <w:pPr>
        <w:jc w:val="both"/>
      </w:pPr>
      <w:r w:rsidRPr="009A1928">
        <w:t>Los trabajadores autónomos que, a 1 de enero de 2019, tengan 47 años de edad, si su base de cotización fuera inferior a 2.052,00 euros mensuales no podrán elegir una base de cuantía superior a 2.077,80 euros mensuales, salvo que ejerciten su opción en tal sentido antes del 30 de junio de 2019, lo que producirá efectos a partir del 1 de julio del mismo año, o que se trate del cónyuge supérstite del titular del negocio que, como consecuencia del fallecimiento de este, haya tenido que ponerse al frente del mismo y darse de alta en este régimen especial con 47 años de edad, en cuyo caso no existirá dicha limitación.</w:t>
      </w:r>
    </w:p>
    <w:p w:rsidR="009A0316" w:rsidRPr="009A1928" w:rsidRDefault="009A0316" w:rsidP="00437BB2">
      <w:pPr>
        <w:jc w:val="both"/>
      </w:pPr>
      <w:r w:rsidRPr="009A1928">
        <w:t>4. La base de cotización de los trabajadores autónomos que, a 1 de enero de 2019, tengan cumplida la edad de 48 o más años estará comprendida entre las cuantías de 1.018,50 y 2.077,80 euros mensuales, salvo que se trate del cónyuge supérstite del titular del negocio que, como consecuencia del fallecimiento de este, haya tenido que ponerse al frente del mismo y darse de alta en este régimen especial con 45 o más años de edad, en cuyo caso la elección de bases estará comprendida entre las cuantías de 944,40 y 2.077,80 euros mensuales.</w:t>
      </w:r>
    </w:p>
    <w:p w:rsidR="009A0316" w:rsidRPr="009A1928" w:rsidRDefault="009A0316" w:rsidP="00437BB2">
      <w:pPr>
        <w:jc w:val="both"/>
      </w:pPr>
      <w:r w:rsidRPr="009A1928">
        <w:t>No obstante, la base de cotización de los trabajadores autónomos que con anterioridad a los 50 años hubieran cotizado en cualquiera de los regímenes del sistema de la Seguridad Social cinco o más años, tendrán las siguientes cuantías:</w:t>
      </w:r>
    </w:p>
    <w:p w:rsidR="009A0316" w:rsidRPr="009A1928" w:rsidRDefault="009A0316" w:rsidP="00437BB2">
      <w:pPr>
        <w:jc w:val="both"/>
      </w:pPr>
      <w:r w:rsidRPr="009A1928">
        <w:t>a) Si la última base de cotización acreditada hubiera sido igual o inferior a 2.052,00 euros mensuales, se habrá de cotizar por una base comprendida entre 944,40 euros mensuales y 2.077,80 euros mensuales.</w:t>
      </w:r>
    </w:p>
    <w:p w:rsidR="009A0316" w:rsidRPr="009A1928" w:rsidRDefault="009A0316" w:rsidP="00437BB2">
      <w:pPr>
        <w:jc w:val="both"/>
      </w:pPr>
      <w:r w:rsidRPr="009A1928">
        <w:t>b) Si la última base de cotización acreditada hubiera sido superior a 2.052,00 euros mensuales, se habrá de cotizar por una base comprendida entre 944,40 euros mensuales y el importe de aquella incrementado en un 7,00 por ciento, con el tope de la base máxima de cotización.</w:t>
      </w:r>
    </w:p>
    <w:p w:rsidR="009A0316" w:rsidRPr="009A1928" w:rsidRDefault="009A0316" w:rsidP="00437BB2">
      <w:pPr>
        <w:jc w:val="both"/>
      </w:pPr>
      <w:r w:rsidRPr="009A1928">
        <w:t>Lo previsto en el anterior párrafo b) será asimismo de aplicación con respecto a los trabajadores autónomos que con 48 o 49 años de edad hubieran ejercitado la opción prevista en el artículo 132, apartado cuatro.2, párrafo segundo, de la Ley 39/2010, de 22 de diciembre, de Presupuestos Generales del Estado para el año 2011.</w:t>
      </w:r>
    </w:p>
    <w:p w:rsidR="009A0316" w:rsidRPr="009A1928" w:rsidRDefault="009A0316" w:rsidP="00437BB2">
      <w:pPr>
        <w:jc w:val="both"/>
      </w:pPr>
      <w:r w:rsidRPr="009A1928">
        <w:t>5. Los trabajadores cuya alta en este régimen especial se haya practicado de oficio, como consecuencia, a su vez, de una baja de oficio en el Régimen General de la Seguridad Social o en otro régimen de trabajadores por cuenta ajena, podrán optar, cualquiera que sea su edad en el momento de causar alta, entre mantener la base de cotización por la que venían cotizando en el régimen en que causaron baja o elegir una base de cotización aplicando las reglas generales previstas, a tales efectos, en este régimen especial.</w:t>
      </w:r>
    </w:p>
    <w:p w:rsidR="009A0316" w:rsidRPr="009A1928" w:rsidRDefault="009A0316" w:rsidP="00437BB2">
      <w:pPr>
        <w:jc w:val="both"/>
      </w:pPr>
      <w:r w:rsidRPr="009A1928">
        <w:t>6. Los trabajadores autónomos dedicados a la venta ambulante o a domicilio (CNAE 4781 Comercio al por menor de productos alimenticios, bebidas y tabaco en puestos de venta y mercadillos; 4782 Comercio al por menor de productos textiles, prendas de vestir y calzado en puestos de venta y mercadillos; 4789 Comercio al por menor de otros productos en puestos de venta y mercadillos y 4799 Otro comercio al por menor no realizado ni en establecimientos, ni en puestos de venta ni en mercadillos) podrán elegir como base mínima de cotización durante el año 2019, una base de 944,40 euros mensuales, o una base de 869,40 euros mensuales.</w:t>
      </w:r>
    </w:p>
    <w:p w:rsidR="009A0316" w:rsidRPr="009A1928" w:rsidRDefault="009A0316" w:rsidP="00437BB2">
      <w:pPr>
        <w:jc w:val="both"/>
      </w:pPr>
      <w:r w:rsidRPr="009A1928">
        <w:t>Los trabajadores autónomos dedicados a la venta a domicilio (CNAE 4799) podrán también elegir como base mínima de cotización durante el año 2019 una base de 944,40 euros mensuales, o una base de 519,30 euros mensuales.</w:t>
      </w:r>
    </w:p>
    <w:p w:rsidR="009A0316" w:rsidRPr="009A1928" w:rsidRDefault="009A0316" w:rsidP="00437BB2">
      <w:pPr>
        <w:jc w:val="both"/>
      </w:pPr>
      <w:r w:rsidRPr="009A1928">
        <w:t>7. Lo previsto en el párrafo primero del apartado 6 será de aplicación a los socios trabajadores de las cooperativas de trabajo asociado dedicados a la venta ambulante, que perciban ingresos directamente de los compradores.</w:t>
      </w:r>
    </w:p>
    <w:p w:rsidR="009A0316" w:rsidRPr="009A1928" w:rsidRDefault="009A0316" w:rsidP="00437BB2">
      <w:pPr>
        <w:jc w:val="both"/>
      </w:pPr>
      <w:r w:rsidRPr="009A1928">
        <w:t>En tales casos, en el supuesto en que se acredite que la venta ambulante se lleva a cabo en mercados tradicionales o «mercadillos», con horario de venta inferior a ocho horas al día, se podrá elegir entre cotizar por una base de 944,40 euros mensuales, o una base de 519,30 euros mensuales.</w:t>
      </w:r>
    </w:p>
    <w:p w:rsidR="009A0316" w:rsidRPr="009A1928" w:rsidRDefault="009A0316" w:rsidP="00437BB2">
      <w:pPr>
        <w:jc w:val="both"/>
      </w:pPr>
      <w:r w:rsidRPr="009A1928">
        <w:t>La elección de bases de cotización prevista en el párrafo precedente también será de aplicación a las personas que se dediquen de forma individual a la venta ambulante en mercados tradicionales o «mercadillos» con horario de venta inferior a ocho horas al día, siempre que no dispongan de establecimiento fijo propio, ni produzcan los artículos o productos que vendan.</w:t>
      </w:r>
    </w:p>
    <w:p w:rsidR="009A0316" w:rsidRPr="009A1928" w:rsidRDefault="009A0316" w:rsidP="00437BB2">
      <w:pPr>
        <w:jc w:val="both"/>
      </w:pPr>
      <w:r w:rsidRPr="009A1928">
        <w:t>8. En los supuestos a los que se refieren los apartados 6 y 7, por tratarse de actividades exclusivas de venta, no están incluidos aquellos casos en los que, además, se fabrican o elaboran los productos objeto de venta.</w:t>
      </w:r>
    </w:p>
    <w:p w:rsidR="009A0316" w:rsidRPr="009A1928" w:rsidRDefault="009A0316" w:rsidP="00437BB2">
      <w:pPr>
        <w:jc w:val="both"/>
      </w:pPr>
      <w:r w:rsidRPr="009A1928">
        <w:t>9. Los trabajadores autónomos que, en razón de su trabajo por cuenta ajena desarrollado simultáneamente, hayan cotizado en 2018 en régimen de pluriactividad, teniendo en cuenta tanto las cotizaciones efectuadas en este régimen especial como las aportaciones empresariales y las correspondientes al trabajador en el régimen de Seguridad Social que corresponda por su actividad por cuenta ajena, por una cuantía igual o superior a 12.917,37 euros, tendrán derecho a una devolución del 50 por ciento del exceso en que sus cotizaciones por contingencias comunes superen la mencionada cuantía, con el tope del 50 por ciento de las cuotas ingresadas en el régimen especial, en razón de su cotización por las contingencias comunes.</w:t>
      </w:r>
    </w:p>
    <w:p w:rsidR="009A0316" w:rsidRPr="009A1928" w:rsidRDefault="009A0316" w:rsidP="00437BB2">
      <w:pPr>
        <w:jc w:val="both"/>
      </w:pPr>
      <w:r w:rsidRPr="009A1928">
        <w:t>La devolución se efectuará de oficio por la Tesorería General de la Seguridad Social antes del 1 de mayo de 2019, salvo cuando concurran especialidades en la cotización que impidan efectuarla en ese plazo o resulte necesaria la aportación de datos por parte del interesado, en cuyo caso el reintegro se realizará con posterioridad a esa fecha.</w:t>
      </w:r>
    </w:p>
    <w:p w:rsidR="009A0316" w:rsidRPr="009A1928" w:rsidRDefault="009A0316" w:rsidP="00437BB2">
      <w:pPr>
        <w:jc w:val="both"/>
      </w:pPr>
      <w:r w:rsidRPr="009A1928">
        <w:t>10. Los socios trabajadores de cooperativas de trabajo asociado dedicados a la venta ambulante que hayan quedado incluidos en el Régimen Especial de Trabajadores por Cuenta Propia o Autónomos en aplicación de lo establecido en el artículo 120.cuatro.8 de la Ley 2/2008, de 23 de diciembre, de Presupuestos Generales del Estado para el año 2009, tendrán derecho, durante 2019, a una reducción del 50 por ciento de la cuota a ingresar.</w:t>
      </w:r>
    </w:p>
    <w:p w:rsidR="009A0316" w:rsidRPr="009A1928" w:rsidRDefault="009A0316" w:rsidP="00437BB2">
      <w:pPr>
        <w:jc w:val="both"/>
      </w:pPr>
      <w:r w:rsidRPr="009A1928">
        <w:t>También tendrán derecho a esa reducción los socios trabajadores de cooperativas de trabajo asociado dedicados a la venta ambulante que hayan iniciado su actividad y quedado incluidos en el citado régimen especial a partir del 1 de enero de 2009.</w:t>
      </w:r>
    </w:p>
    <w:p w:rsidR="009A0316" w:rsidRPr="009A1928" w:rsidRDefault="009A0316" w:rsidP="00437BB2">
      <w:pPr>
        <w:jc w:val="both"/>
      </w:pPr>
      <w:r w:rsidRPr="009A1928">
        <w:t>La reducción se aplicará sobre la cuota que resulte de aplicar, sobre la base mínima elegida de conformidad con lo previsto en el apartado 7, el tipo de cotización aplicable de acuerdo con lo previsto en el apartado 1.</w:t>
      </w:r>
    </w:p>
    <w:p w:rsidR="009A0316" w:rsidRPr="009A1928" w:rsidRDefault="009A0316" w:rsidP="00437BB2">
      <w:pPr>
        <w:jc w:val="both"/>
      </w:pPr>
      <w:r w:rsidRPr="009A1928">
        <w:t>11. Respecto a los trabajadores autónomos que en algún momento del año 2018 y de manera simultánea hayan tenido contratado a su servicio un número de trabajadores por cuenta ajena igual o superior a 10, la base mínima de cotización tendrá una cuantía fijada en 1.214,10 euros mensuales.</w:t>
      </w:r>
    </w:p>
    <w:p w:rsidR="009A0316" w:rsidRPr="009A1928" w:rsidRDefault="009A0316" w:rsidP="00437BB2">
      <w:pPr>
        <w:jc w:val="both"/>
      </w:pPr>
      <w:r w:rsidRPr="009A1928">
        <w:t>12. Los trabajadores autónomos incluidos en este régimen especial al amparo de lo establecido en el artículo 305.2.b) y e) del texto refundido de la Ley General de la Seguridad Social, a excepción de aquellos que causen alta inicial en el mismo, durante los 12 primeros meses de su actividad a contar desde la fecha de efectos de dicha alta, tendrán una base mínima de cotización de cuantía fijada para el año 2019 en 1.214,10 euros mensuales</w:t>
      </w:r>
    </w:p>
    <w:p w:rsidR="009A0316" w:rsidRPr="009A1928" w:rsidRDefault="009A0316" w:rsidP="00437BB2">
      <w:pPr>
        <w:jc w:val="both"/>
      </w:pPr>
      <w:r w:rsidRPr="009A1928">
        <w:t>13. A efectos de lo establecido en el artículo 313 del texto refundido de la Ley General de la Seguridad Social, las cuantías correspondientes a los distintos porcentajes de la base de cotización por la que podrán optar los trabajadores incluidos en este régimen especial en los casos de pluriactividad con jornada laboral a tiempo completo o a tiempo parcial superior al 50 por ciento, serán durante el año 2019 las siguientes: 472,20 euros, cuando la base elegida sea del 50 por ciento de la base mínima de cotización; 708,30 euros, cuando se corresponda con el 75 por ciento, y 802,80 euros, cuando coincida con el 85 por ciento de dicha base mínima.</w:t>
      </w:r>
    </w:p>
    <w:p w:rsidR="009A0316" w:rsidRPr="009A1928" w:rsidRDefault="009A0316" w:rsidP="00437BB2">
      <w:pPr>
        <w:jc w:val="both"/>
      </w:pPr>
      <w:r w:rsidRPr="009A1928">
        <w:t xml:space="preserve">Artículo 16 Bases y tipos de cotización en el Sistema Especial para Trabajadores por Cuenta Propia Agrarios, establecido en el Régimen Especial de la Seguridad Social de los Trabajadores por Cuenta Propia o Autónomos </w:t>
      </w:r>
    </w:p>
    <w:p w:rsidR="009A0316" w:rsidRPr="009A1928" w:rsidRDefault="009A0316" w:rsidP="00437BB2">
      <w:pPr>
        <w:jc w:val="both"/>
      </w:pPr>
      <w:r w:rsidRPr="009A1928">
        <w:t>1. A partir de 1 de enero de 2019, las bases de cotización a este sistema especial serán las establecidas con carácter general para el Régimen Especial de la Seguridad Social de los Trabajadores por Cuenta Propia o Autónomos en el artículo precedente.</w:t>
      </w:r>
    </w:p>
    <w:p w:rsidR="009A0316" w:rsidRPr="009A1928" w:rsidRDefault="009A0316" w:rsidP="00437BB2">
      <w:pPr>
        <w:jc w:val="both"/>
      </w:pPr>
      <w:r w:rsidRPr="009A1928">
        <w:t>2. Los tipos de cotización por contingencias comunes serán los siguientes:</w:t>
      </w:r>
    </w:p>
    <w:p w:rsidR="009A0316" w:rsidRPr="009A1928" w:rsidRDefault="009A0316" w:rsidP="00437BB2">
      <w:pPr>
        <w:jc w:val="both"/>
      </w:pPr>
      <w:r w:rsidRPr="009A1928">
        <w:t>a) Respecto de las contingencias de cobertura obligatoria, cuando el trabajador haya optado por elegir como base de cotización una base comprendida entre 944,40 euros mensuales y 1.133,40 euros mensuales, el tipo de cotización aplicable será el 18,75 por ciento.</w:t>
      </w:r>
    </w:p>
    <w:p w:rsidR="009A0316" w:rsidRPr="009A1928" w:rsidRDefault="009A0316" w:rsidP="00437BB2">
      <w:pPr>
        <w:jc w:val="both"/>
      </w:pPr>
      <w:r w:rsidRPr="009A1928">
        <w:t>Si el trabajador cotizara por una base de cotización superior a 1.133,40 euros mensuales, a la cuantía que exceda de esta última le será de aplicación el tipo de cotización del 26,50 por ciento.</w:t>
      </w:r>
    </w:p>
    <w:p w:rsidR="009A0316" w:rsidRPr="009A1928" w:rsidRDefault="009A0316" w:rsidP="00437BB2">
      <w:pPr>
        <w:jc w:val="both"/>
      </w:pPr>
      <w:r w:rsidRPr="009A1928">
        <w:t>b) Respecto a la mejora voluntaria de la incapacidad temporal por contingencias comunes, el tipo de cotización a aplicar a la cuantía completa de la base de cotización del interesado será el 3,30 por ciento, o el 2,80 por ciento si el interesado está acogido a la protección por contingencias profesionales o por cese de actividad.</w:t>
      </w:r>
    </w:p>
    <w:p w:rsidR="009A0316" w:rsidRPr="009A1928" w:rsidRDefault="009A0316" w:rsidP="00437BB2">
      <w:pPr>
        <w:jc w:val="both"/>
      </w:pPr>
      <w:r w:rsidRPr="009A1928">
        <w:t>3. Para las contingencias de accidentes de trabajo y enfermedades profesionales se aplicarán los tipos de la tarifa de primas establecida en la disposición adicional cuarta de la Ley 42/2006, de 28 de diciembre.</w:t>
      </w:r>
    </w:p>
    <w:p w:rsidR="009A0316" w:rsidRPr="009A1928" w:rsidRDefault="009A0316" w:rsidP="00437BB2">
      <w:pPr>
        <w:jc w:val="both"/>
      </w:pPr>
      <w:r w:rsidRPr="009A1928">
        <w:t>En el supuesto de que los interesados no hubiesen optado por la cobertura de la totalidad de las contingencias profesionales, se seguirá abonando, en concepto de cobertura de las contingencias de incapacidad permanente y muerte y supervivencia, una cuota resultante de aplicar a la base de cotización elegida el tipo del 1,00 por ciento.</w:t>
      </w:r>
    </w:p>
    <w:p w:rsidR="009A0316" w:rsidRPr="009A1928" w:rsidRDefault="009A0316" w:rsidP="00437BB2">
      <w:pPr>
        <w:jc w:val="both"/>
      </w:pPr>
      <w:r w:rsidRPr="009A1928">
        <w:t>Igualmente, los trabajadores incluidos en este sistema especial que no hayan optado por dar cobertura, en el ámbito de protección dispensada, a la totalidad de las contingencias de accidentes de trabajo y enfermedades profesionales, efectuarán una cotización adicional equivalente al 0,10 por ciento, aplicado sobre la base de cotización elegida, para la financiación de las prestaciones previstas en los capítulos VIII y IX del título II del texto refundido de la Ley General de la Seguridad Social.</w:t>
      </w:r>
    </w:p>
    <w:p w:rsidR="009A0316" w:rsidRPr="009A1928" w:rsidRDefault="009A0316" w:rsidP="00437BB2">
      <w:pPr>
        <w:jc w:val="both"/>
      </w:pPr>
      <w:r w:rsidRPr="009A1928">
        <w:t>Sección 3</w:t>
      </w:r>
      <w:r w:rsidRPr="009A1928">
        <w:br/>
      </w:r>
      <w:r w:rsidRPr="009A1928">
        <w:br/>
        <w:t>Régimen Especial de la Seguridad Social de los Trabajadores del Mar</w:t>
      </w:r>
    </w:p>
    <w:p w:rsidR="009A0316" w:rsidRPr="009A1928" w:rsidRDefault="009A0316" w:rsidP="00437BB2">
      <w:pPr>
        <w:jc w:val="both"/>
      </w:pPr>
      <w:r w:rsidRPr="009A1928">
        <w:t xml:space="preserve">Artículo 17 Normas aplicables </w:t>
      </w:r>
    </w:p>
    <w:p w:rsidR="009A0316" w:rsidRPr="009A1928" w:rsidRDefault="009A0316" w:rsidP="00437BB2">
      <w:pPr>
        <w:jc w:val="both"/>
      </w:pPr>
      <w:r w:rsidRPr="009A1928">
        <w:t>1. Lo previsto en los artículos 1 a 9 de este capítulo será de aplicación a los trabajadores por cuenta ajena y asimilados incluidos en el Régimen Especial de la Seguridad Social de los Trabajadores del Mar, sin perjuicio, y para la cotización por contingencias comunes, de la aplicación para los trabajadores incluidos en los grupos segundo y tercero, de los coeficientes correctores a los que se refiere el artículo 11 de la Ley 47/2015, de 21 de octubre, reguladora de la protección social de las personas trabajadoras del sector marítimo-pesquero.</w:t>
      </w:r>
    </w:p>
    <w:p w:rsidR="009A0316" w:rsidRPr="009A1928" w:rsidRDefault="009A0316" w:rsidP="00437BB2">
      <w:pPr>
        <w:jc w:val="both"/>
      </w:pPr>
      <w:r w:rsidRPr="009A1928">
        <w:t>No obstante, lo previsto en los artículos 4.b) y 6.5 respecto a la aplicación del tipo de cotización por accidentes de trabajo y enfermedades profesionales más alto de los establecidos en la tarifa de primas a las empresas que ocupen a trabajadores a quienes resulte de aplicación un coeficiente reductor de la edad de jubilación, no resultará aplicable a los trabajadores embarcados en barcos de pesca de hasta 10 Toneladas de Registro Bruto incluidos en este régimen especial.</w:t>
      </w:r>
    </w:p>
    <w:p w:rsidR="009A0316" w:rsidRPr="009A1928" w:rsidRDefault="009A0316" w:rsidP="00437BB2">
      <w:pPr>
        <w:jc w:val="both"/>
      </w:pPr>
      <w:r w:rsidRPr="009A1928">
        <w:t>2. La base de cotización para todas las contingencias y situaciones protegidas en este régimen especial de los trabajadores incluidos en los grupos segundo y tercero a que se refiere el artículo 10 de la Ley 47/2015, de 21 de octubre, se efectuará teniendo en cuenta las remuneraciones efectivamente percibidas, siendo estas las que se determinen anualmente mediante Orden del Ministerio de Trabajo, Migraciones y Seguridad Social, a propuesta del Instituto Social de la Marina, oídas las organizaciones más representativas del sector.</w:t>
      </w:r>
    </w:p>
    <w:p w:rsidR="009A0316" w:rsidRPr="009A1928" w:rsidRDefault="009A0316" w:rsidP="00437BB2">
      <w:pPr>
        <w:jc w:val="both"/>
      </w:pPr>
      <w:r w:rsidRPr="009A1928">
        <w:t>Tal determinación se efectuará por provincias, modalidades de pesca y categorías profesionales, sobre la base de los valores medios de remuneración percibida en el año precedente.</w:t>
      </w:r>
    </w:p>
    <w:p w:rsidR="009A0316" w:rsidRPr="009A1928" w:rsidRDefault="009A0316" w:rsidP="00437BB2">
      <w:pPr>
        <w:jc w:val="both"/>
      </w:pPr>
      <w:r w:rsidRPr="009A1928">
        <w:t>Dichas bases serán únicas, sin que puedan ser inferiores ni superiores a las establecidas para las distintas categorías profesionales.</w:t>
      </w:r>
    </w:p>
    <w:p w:rsidR="009A0316" w:rsidRPr="009A1928" w:rsidRDefault="009A0316" w:rsidP="00437BB2">
      <w:pPr>
        <w:jc w:val="both"/>
      </w:pPr>
      <w:r w:rsidRPr="009A1928">
        <w:t>3. Lo previsto en los apartados 2 a 5; 9; y 11 a 13 del artículo 15 de este capítulo será de aplicación a los trabajadores por cuenta propia incluidos en el grupo primero de cotización a que se refiere el artículo 10 de la Ley 47/2015, de 21 de octubre.</w:t>
      </w:r>
    </w:p>
    <w:p w:rsidR="009A0316" w:rsidRPr="009A1928" w:rsidRDefault="009A0316" w:rsidP="00437BB2">
      <w:pPr>
        <w:jc w:val="both"/>
      </w:pPr>
      <w:r w:rsidRPr="009A1928">
        <w:t>4. A partir de 1 de enero de 2019, los tipos de cotización de los trabajadores por cuenta propia serán los siguientes:</w:t>
      </w:r>
    </w:p>
    <w:p w:rsidR="009A0316" w:rsidRPr="009A1928" w:rsidRDefault="009A0316" w:rsidP="00437BB2">
      <w:pPr>
        <w:jc w:val="both"/>
      </w:pPr>
      <w:r w:rsidRPr="009A1928">
        <w:t>a) Para las contingencias comunes, el 28,30 por ciento.</w:t>
      </w:r>
    </w:p>
    <w:p w:rsidR="009A0316" w:rsidRPr="009A1928" w:rsidRDefault="009A0316" w:rsidP="00437BB2">
      <w:pPr>
        <w:jc w:val="both"/>
      </w:pPr>
      <w:r w:rsidRPr="009A1928">
        <w:t>b) Para las contingencias profesionales, el 0,9 por ciento, del que el 0,46 por ciento corresponde a la contingencia de incapacidad temporal y el 0,44 a las de incapacidad permanente y muerte y supervivencia.</w:t>
      </w:r>
    </w:p>
    <w:p w:rsidR="009A0316" w:rsidRPr="009A1928" w:rsidRDefault="009A0316" w:rsidP="00437BB2">
      <w:pPr>
        <w:jc w:val="both"/>
      </w:pPr>
      <w:r w:rsidRPr="009A1928">
        <w:t>No obstante ello, cuando a los trabajadores autónomos por razón de su actividad les resulte de aplicación un coeficiente reductor de la edad de jubilación, la cotización por contingencias profesionales se determinará de conformidad con el tipo más alto de los fijados en la tarifa de primas establecida en la disposición adicional cuarta de la Ley 42/2006, de 28 de diciembre, siempre y cuando el establecimiento de dicho coeficiente reductor no lleve aparejada una cotización adicional por tal concepto.</w:t>
      </w:r>
    </w:p>
    <w:p w:rsidR="009A0316" w:rsidRPr="009A1928" w:rsidRDefault="009A0316" w:rsidP="00437BB2">
      <w:pPr>
        <w:jc w:val="both"/>
      </w:pPr>
      <w:r w:rsidRPr="009A1928">
        <w:t>Sección 4</w:t>
      </w:r>
      <w:r w:rsidRPr="009A1928">
        <w:br/>
      </w:r>
      <w:r w:rsidRPr="009A1928">
        <w:br/>
        <w:t>Régimen Especial de la Seguridad Social para la Minería del Carbón</w:t>
      </w:r>
    </w:p>
    <w:p w:rsidR="009A0316" w:rsidRPr="009A1928" w:rsidRDefault="009A0316" w:rsidP="00437BB2">
      <w:pPr>
        <w:jc w:val="both"/>
      </w:pPr>
      <w:r w:rsidRPr="009A1928">
        <w:t xml:space="preserve">Artículo 18 Peculiaridades en la cotización en el Régimen Especial de la Seguridad Social para la Minería del Carbón </w:t>
      </w:r>
    </w:p>
    <w:p w:rsidR="009A0316" w:rsidRPr="009A1928" w:rsidRDefault="009A0316" w:rsidP="00437BB2">
      <w:pPr>
        <w:jc w:val="both"/>
      </w:pPr>
      <w:r w:rsidRPr="009A1928">
        <w:t>1. Durante la percepción de la prestación por desempleo, si corresponde cotizar en el Régimen Especial para la Minería del Carbón, la base de cotización será la normalizada vigente que corresponda a la categoría o especialidad profesional del trabajador en el momento de producirse la situación legal de desempleo. Tal base de cotización se actualizará conforme a la base vigente en cada momento que corresponda a la categoría o especialidad profesional del trabajador en el momento de producirse la situación legal de desempleo.</w:t>
      </w:r>
    </w:p>
    <w:p w:rsidR="009A0316" w:rsidRPr="009A1928" w:rsidRDefault="009A0316" w:rsidP="00437BB2">
      <w:pPr>
        <w:jc w:val="both"/>
      </w:pPr>
      <w:r w:rsidRPr="009A1928">
        <w:t>2. La cotización por contingencias comunes, respecto de los trabajadores pertenecientes a categorías o especialidades profesionales de nueva creación que no tengan asignada la correspondiente base normalizada, y hasta que esta se determine, se realizará en función de la base de cotización por accidentes de trabajo y enfermedades profesionales.</w:t>
      </w:r>
    </w:p>
    <w:p w:rsidR="009A0316" w:rsidRPr="009A1928" w:rsidRDefault="009A0316" w:rsidP="00437BB2">
      <w:pPr>
        <w:jc w:val="both"/>
      </w:pPr>
      <w:r w:rsidRPr="009A1928">
        <w:t>Este criterio será también de aplicación a los supuestos de categorías o especialidades profesionales que, habiendo desaparecido, vuelvan a crearse de nuevo.</w:t>
      </w:r>
    </w:p>
    <w:p w:rsidR="009A0316" w:rsidRPr="009A1928" w:rsidRDefault="009A0316" w:rsidP="00437BB2">
      <w:pPr>
        <w:jc w:val="both"/>
      </w:pPr>
      <w:r w:rsidRPr="009A1928">
        <w:t>3. La cotización en el convenio especial suscrito en el Régimen Especial para la Minería del Carbón, se efectuará del siguiente modo:</w:t>
      </w:r>
    </w:p>
    <w:p w:rsidR="009A0316" w:rsidRPr="009A1928" w:rsidRDefault="009A0316" w:rsidP="00437BB2">
      <w:pPr>
        <w:jc w:val="both"/>
      </w:pPr>
      <w:r w:rsidRPr="009A1928">
        <w:t>a) Categorías o especialidades profesionales que tienen fijada base normalizada de cotización, en el momento de suscripción del convenio especial. En los supuestos señalados, se aplicarán las siguientes reglas:</w:t>
      </w:r>
    </w:p>
    <w:p w:rsidR="009A0316" w:rsidRPr="009A1928" w:rsidRDefault="009A0316" w:rsidP="00437BB2">
      <w:pPr>
        <w:jc w:val="both"/>
      </w:pPr>
      <w:r w:rsidRPr="009A1928">
        <w:t>Primera. La base inicial de cotización correspondiente al convenio especial será la base normalizada vigente en el momento de la suscripción del convenio para la categoría o especialidad profesional a la que pertenecía el trabajador. Las sucesivas bases de cotización serán equivalentes a las bases normalizadas que, en cada ejercicio económico, se fijen para la respectiva categoría o especialidad profesional.</w:t>
      </w:r>
    </w:p>
    <w:p w:rsidR="009A0316" w:rsidRPr="009A1928" w:rsidRDefault="009A0316" w:rsidP="00437BB2">
      <w:pPr>
        <w:jc w:val="both"/>
      </w:pPr>
      <w:r w:rsidRPr="009A1928">
        <w:t>Segunda. Si la base normalizada de la categoría o especialidad profesional de que se trate tuviese, en el ejercicio económico correspondiente, un importe inferior a la base del convenio especial, esta permanecerá inalterada hasta que la base normalizada que se fije sea de una cuantía igual o superior a la del convenio especial.</w:t>
      </w:r>
    </w:p>
    <w:p w:rsidR="009A0316" w:rsidRPr="009A1928" w:rsidRDefault="009A0316" w:rsidP="00437BB2">
      <w:pPr>
        <w:jc w:val="both"/>
      </w:pPr>
      <w:r w:rsidRPr="009A1928">
        <w:t>Tercera. En el supuesto de que desaparezca la categoría o especialidad profesional a la que perteneció, en su momento, el trabajador que suscribió el convenio especial, la base de cotización del convenio especial podrá ser actualizada de acuerdo con lo establecido en el artículo 6.2.2 de la Orden TAS/2865/2003, de 13 de octubre, por la que se regula el convenio especial en el sistema de la Seguridad Social, pudiendo incrementarse dicha base, como máximo, en el porcentaje de variación de la base mínima de cotización en el Régimen General de la Seguridad Social.</w:t>
      </w:r>
    </w:p>
    <w:p w:rsidR="009A0316" w:rsidRPr="009A1928" w:rsidRDefault="009A0316" w:rsidP="00437BB2">
      <w:pPr>
        <w:jc w:val="both"/>
      </w:pPr>
      <w:r w:rsidRPr="009A1928">
        <w:t>A partir del momento en que vuelva a fijarse la base normalizada de cotización para la categoría o especialidad profesional correspondiente, al crearse de nuevo, la base de cotización en el convenio especial será dicha base normalizada, sin perjuicio de lo señalado en la regla segunda.</w:t>
      </w:r>
    </w:p>
    <w:p w:rsidR="009A0316" w:rsidRPr="009A1928" w:rsidRDefault="009A0316" w:rsidP="00437BB2">
      <w:pPr>
        <w:jc w:val="both"/>
      </w:pPr>
      <w:r w:rsidRPr="009A1928">
        <w:t>b) Categorías o especialidades profesionales de nueva creación que no tienen fijada base normalizada en el momento de la suscripción del convenio especial.</w:t>
      </w:r>
    </w:p>
    <w:p w:rsidR="009A0316" w:rsidRPr="009A1928" w:rsidRDefault="009A0316" w:rsidP="00437BB2">
      <w:pPr>
        <w:jc w:val="both"/>
      </w:pPr>
      <w:r w:rsidRPr="009A1928">
        <w:t>En los supuestos indicados, la base de cotización, en el momento de suscripción del convenio especial, será la que resulte de aplicar el procedimiento establecido en el artículo 6.2.1.b) de la Orden TAS/2865/2003, de 13 de octubre. La base inicial así determinada será sustituida por la base normalizada que, para la categoría o especialidad profesional, se fije por el Ministerio de Trabajo, Migraciones y Seguridad Social.</w:t>
      </w:r>
    </w:p>
    <w:p w:rsidR="009A0316" w:rsidRPr="009A1928" w:rsidRDefault="009A0316" w:rsidP="00437BB2">
      <w:pPr>
        <w:jc w:val="both"/>
      </w:pPr>
      <w:r w:rsidRPr="009A1928">
        <w:t>4. A efectos de determinar la cotización por los pensionistas de incapacidad permanente, en los supuestos referidos en los artículos 20 y 22 de la Orden de 3 de abril de 1973, para la aplicación y desarrollo del Decreto 298/1973, de 8 de febrero, sobre actualización del Régimen Especial de la Seguridad Social para la Minería del Carbón, y cuando no exista base normalizada de cotización correspondiente a la categoría o especialidad profesional que ocupaban los pensionistas, en todos o en alguno de los períodos que han de tomarse en cuenta para el cálculo de la pensión de jubilación y a efectos de determinar las cantidades a deducir de la pensión de jubilación, se aplicarán las siguientes reglas:</w:t>
      </w:r>
    </w:p>
    <w:p w:rsidR="009A0316" w:rsidRPr="009A1928" w:rsidRDefault="009A0316" w:rsidP="00437BB2">
      <w:pPr>
        <w:jc w:val="both"/>
      </w:pPr>
      <w:r w:rsidRPr="009A1928">
        <w:t>Primera. Se tendrá en cuenta como base de cotización y por los períodos indicados la base de cotización fijada para la categoría o especialidad profesional de que se trate, antes de su desaparición.</w:t>
      </w:r>
    </w:p>
    <w:p w:rsidR="009A0316" w:rsidRPr="009A1928" w:rsidRDefault="009A0316" w:rsidP="00437BB2">
      <w:pPr>
        <w:jc w:val="both"/>
      </w:pPr>
      <w:r w:rsidRPr="009A1928">
        <w:t>Segunda. La citada base de cotización se incrementará aplicándole el porcentaje de incremento que haya experimentado la base mínima de cotización en el Régimen General correspondiente al grupo de cotización en que estuviese encuadrada la categoría o especialidad profesional a la que perteneciese, en su momento, el trabajador.</w:t>
      </w:r>
    </w:p>
    <w:p w:rsidR="009A0316" w:rsidRPr="009A1928" w:rsidRDefault="009A0316" w:rsidP="00437BB2">
      <w:pPr>
        <w:jc w:val="both"/>
      </w:pPr>
      <w:r w:rsidRPr="009A1928">
        <w:t>5. A efectos del cálculo de las bases de cotización normalizadas, la Tesorería General de la Seguridad Social tomará los días trabajados y de alta que figuren en el Fichero General de Afiliación, según la información facilitada por las empresas del sector de acuerdo con las obligaciones que establece el Reglamento general sobre inscripción de empresas y afiliación, altas, bajas y variaciones de datos de trabajadores en la Seguridad Social, aprobado por el Real Decreto 84/1996, de 26 de enero.</w:t>
      </w:r>
    </w:p>
    <w:p w:rsidR="009A0316" w:rsidRPr="009A1928" w:rsidRDefault="009A0316" w:rsidP="00437BB2">
      <w:pPr>
        <w:jc w:val="both"/>
      </w:pPr>
      <w:r w:rsidRPr="009A1928">
        <w:t>6. Para la cotización por accidentes de trabajo y enfermedad profesional, los empresarios que ocupen a trabajadores, a quienes en razón de su actividad les resulte de aplicación un coeficiente reductor de la edad de jubilación, deberán cotizar por el tipo de cotización por accidentes de trabajo y enfermedades profesionales más alto de los establecidos en la tarifa de primas establecida en la disposición adicional cuarta de la Ley 42/2006, de 28 de diciembre, siempre y cuando el establecimiento de ese coeficiente reductor no lleve aparejada una cotización adicional por tal concepto.</w:t>
      </w:r>
    </w:p>
    <w:p w:rsidR="009A0316" w:rsidRPr="009A1928" w:rsidRDefault="009A0316" w:rsidP="00437BB2">
      <w:pPr>
        <w:jc w:val="both"/>
      </w:pPr>
      <w:r w:rsidRPr="009A1928">
        <w:t>Lo previsto en este apartado no será de aplicación a los empresarios que ocupen a trabajadores incluidos en el ámbito de aplicación del Real Decreto 1539/2003, de 5 de diciembre, por el que se establecen coeficientes reductores de la edad de jubilación a favor de los trabajadores que acreditan un grado importante de discapacidad.</w:t>
      </w:r>
    </w:p>
    <w:p w:rsidR="009A0316" w:rsidRPr="009A1928" w:rsidRDefault="009A0316" w:rsidP="00437BB2">
      <w:pPr>
        <w:jc w:val="both"/>
      </w:pPr>
      <w:r w:rsidRPr="009A1928">
        <w:t>Sección 5</w:t>
      </w:r>
      <w:r w:rsidRPr="009A1928">
        <w:br/>
      </w:r>
      <w:r w:rsidRPr="009A1928">
        <w:br/>
        <w:t>Coeficientes reductores de la cotización aplicables a las empresas excluidas de alguna contingencia y a las empresas colaboradoras</w:t>
      </w:r>
    </w:p>
    <w:p w:rsidR="009A0316" w:rsidRPr="009A1928" w:rsidRDefault="009A0316" w:rsidP="00437BB2">
      <w:pPr>
        <w:jc w:val="both"/>
      </w:pPr>
      <w:r w:rsidRPr="009A1928">
        <w:t xml:space="preserve">Artículo 19 Coeficientes aplicables a las empresas excluidas de alguna contingencia </w:t>
      </w:r>
    </w:p>
    <w:p w:rsidR="009A0316" w:rsidRPr="009A1928" w:rsidRDefault="009A0316" w:rsidP="00437BB2">
      <w:pPr>
        <w:jc w:val="both"/>
      </w:pPr>
      <w:r w:rsidRPr="009A1928">
        <w:t>Desde el 1 de enero de 2019, los coeficientes reductores que han de aplicarse a las cuotas devengadas por las empresas excluidas de alguna contingencia serán los siguientes:</w:t>
      </w:r>
    </w:p>
    <w:p w:rsidR="009A0316" w:rsidRPr="009A1928" w:rsidRDefault="009A0316" w:rsidP="00437BB2">
      <w:pPr>
        <w:jc w:val="both"/>
      </w:pPr>
      <w:r w:rsidRPr="009A1928">
        <w:t>a) En las empresas excluidas de la contingencia de incapacidad temporal derivada de enfermedad común o accidente no laboral, se aplicará el coeficiente 0,045, correspondiendo el 0,038 a la cuota empresarial, y el 0,007 a la cuota del trabajador.</w:t>
      </w:r>
    </w:p>
    <w:p w:rsidR="009A0316" w:rsidRPr="009A1928" w:rsidRDefault="009A0316" w:rsidP="00437BB2">
      <w:pPr>
        <w:jc w:val="both"/>
      </w:pPr>
      <w:r w:rsidRPr="009A1928">
        <w:t xml:space="preserve">b) En los supuestos a que se refiere el segundo inciso del primer párrafo del apartado 2 de la disposición transitoria quinta del Real Decreto 480/1993, de 2 de abril, por el que se integra en el Régimen General de la Seguridad Social el Régimen Especial de la Seguridad Social de los </w:t>
      </w:r>
      <w:r w:rsidR="00374580" w:rsidRPr="009A1928">
        <w:t>funcionarios</w:t>
      </w:r>
      <w:r w:rsidRPr="009A1928">
        <w:t xml:space="preserve"> de la Administración Local, se aplicará el coeficiente 0,010, correspondiendo el 0,008 a la cuota empresarial y el 0,002 a la cuota a cargo del trabajador.</w:t>
      </w:r>
    </w:p>
    <w:p w:rsidR="009A0316" w:rsidRPr="009A1928" w:rsidRDefault="009A0316" w:rsidP="00437BB2">
      <w:pPr>
        <w:jc w:val="both"/>
      </w:pPr>
      <w:r w:rsidRPr="009A1928">
        <w:t>c) En el supuesto de exclusión de las contingencias de incapacidad temporal, maternidad, paternidad, riesgo durante el embarazo y riesgo durante la lactancia natural, respecto a los funcionarios públicos y demás personal a que se refiere la disposición adicional tercera del texto refundido de la Ley General de la Seguridad Social, se aplicará el coeficiente 0,055, correspondiendo el 0,046 a la aportación empresarial y el 0,009 a la aportación del trabajador.</w:t>
      </w:r>
    </w:p>
    <w:p w:rsidR="009A0316" w:rsidRPr="009A1928" w:rsidRDefault="009A0316" w:rsidP="00437BB2">
      <w:pPr>
        <w:jc w:val="both"/>
      </w:pPr>
      <w:r w:rsidRPr="009A1928">
        <w:t xml:space="preserve">Artículo 20 Coeficientes aplicables a las empresas autorizadas a colaborar voluntariamente en la gestión de la Seguridad Social </w:t>
      </w:r>
    </w:p>
    <w:p w:rsidR="009A0316" w:rsidRPr="009A1928" w:rsidRDefault="009A0316" w:rsidP="00437BB2">
      <w:pPr>
        <w:jc w:val="both"/>
      </w:pPr>
      <w:r w:rsidRPr="009A1928">
        <w:t>Desde el día 1 de enero de 2019, el coeficiente reductor aplicable a las empresas que a 31 de diciembre de 2018 estuvieran autorizadas para colaborar voluntariamente en la gestión de la prestación económica de incapacidad temporal derivada de enfermedad común o accidente no laboral, en la modalidad prevista en el artículo 102.1.b) del texto refundido de la Ley General de la Seguridad Social vigente en dicha fecha, será el 0,045 sobre la cuota que les correspondería satisfacer de no existir la colaboración.</w:t>
      </w:r>
    </w:p>
    <w:p w:rsidR="009A0316" w:rsidRPr="009A1928" w:rsidRDefault="009A0316" w:rsidP="00437BB2">
      <w:pPr>
        <w:jc w:val="both"/>
      </w:pPr>
      <w:r w:rsidRPr="009A1928">
        <w:t>Lo dispuesto en el párrafo anterior se aplicará exclusivamente entre el 1 de enero y el 31 de marzo de 2019, fecha a partir de la cual dejará de tener vigencia esta modalidad de colaboración voluntaria tras la supresión de la misma llevada a cabo por la disposición final segunda del Real Decreto-ley 28/2018, de 28 de diciembre, conforme a los efectos previstos en su disposición transitoria cuarta.</w:t>
      </w:r>
    </w:p>
    <w:p w:rsidR="009A0316" w:rsidRPr="009A1928" w:rsidRDefault="009A0316" w:rsidP="00437BB2">
      <w:pPr>
        <w:jc w:val="both"/>
      </w:pPr>
      <w:r w:rsidRPr="009A1928">
        <w:t xml:space="preserve">Artículo 21 Aplicación de los coeficientes reductores </w:t>
      </w:r>
    </w:p>
    <w:p w:rsidR="009A0316" w:rsidRPr="009A1928" w:rsidRDefault="009A0316" w:rsidP="00437BB2">
      <w:pPr>
        <w:jc w:val="both"/>
      </w:pPr>
      <w:r w:rsidRPr="009A1928">
        <w:t>El importe a deducir de la cotización en los supuestos referidos en los artículos anteriores se determinará multiplicando por los coeficientes señalados o la suma de los mismos, en su caso, la cuota íntegra resultante de aplicar el tipo único vigente a las correspondientes bases de cotización.</w:t>
      </w:r>
    </w:p>
    <w:p w:rsidR="009A0316" w:rsidRPr="009A1928" w:rsidRDefault="009A0316" w:rsidP="00437BB2">
      <w:pPr>
        <w:jc w:val="both"/>
      </w:pPr>
      <w:r w:rsidRPr="009A1928">
        <w:t>Sección 6</w:t>
      </w:r>
      <w:r w:rsidRPr="009A1928">
        <w:br/>
      </w:r>
      <w:r w:rsidRPr="009A1928">
        <w:br/>
        <w:t>Coeficientes aplicables para determinar la cotización en los supuestos de Convenio especial</w:t>
      </w:r>
    </w:p>
    <w:p w:rsidR="009A0316" w:rsidRPr="009A1928" w:rsidRDefault="009A0316" w:rsidP="00437BB2">
      <w:pPr>
        <w:jc w:val="both"/>
      </w:pPr>
      <w:r w:rsidRPr="009A1928">
        <w:t xml:space="preserve">Artículo 22 Coeficientes aplicables </w:t>
      </w:r>
    </w:p>
    <w:p w:rsidR="009A0316" w:rsidRPr="009A1928" w:rsidRDefault="009A0316" w:rsidP="00437BB2">
      <w:pPr>
        <w:jc w:val="both"/>
      </w:pPr>
      <w:r w:rsidRPr="009A1928">
        <w:t>1. En el convenio especial se aplicarán, a partir de 1 de enero de 2019, los siguientes coeficientes:</w:t>
      </w:r>
    </w:p>
    <w:p w:rsidR="009A0316" w:rsidRPr="009A1928" w:rsidRDefault="009A0316" w:rsidP="00437BB2">
      <w:pPr>
        <w:jc w:val="both"/>
      </w:pPr>
      <w:r w:rsidRPr="009A1928">
        <w:t>a) Cuando el convenio especial tenga por objeto la cobertura de todas las prestaciones derivadas de contingencias comunes a excepción de los subsidios por incapacidad temporal, riesgo durante el embarazo, riesgo durante la lactancia natural, maternidad y paternidad, el 0,94.</w:t>
      </w:r>
    </w:p>
    <w:p w:rsidR="009A0316" w:rsidRPr="009A1928" w:rsidRDefault="009A0316" w:rsidP="00437BB2">
      <w:pPr>
        <w:jc w:val="both"/>
      </w:pPr>
      <w:r w:rsidRPr="009A1928">
        <w:t>b) Cuando el convenio especial se hubiera suscrito con anterioridad a 1 de enero de 1998 y tenga por objeto la cobertura de las prestaciones de jubilación e incapacidad permanente y muerte y supervivencia, derivadas de contingencias comunes, y servicios sociales, el 0,77.</w:t>
      </w:r>
    </w:p>
    <w:p w:rsidR="009A0316" w:rsidRPr="009A1928" w:rsidRDefault="009A0316" w:rsidP="00437BB2">
      <w:pPr>
        <w:jc w:val="both"/>
      </w:pPr>
      <w:r w:rsidRPr="009A1928">
        <w:t>c) En los supuestos de convenio especial suscrito con anterioridad a 1 de enero de 1998 por trabajadores contratados a tiempo parcial y en los supuestos de reducción de la jornada de trabajo con disminución proporcional del salario, el 0,77. Si el convenio especial se hubiera suscrito con posterioridad a 1 de enero de 1998, en los indicados supuestos o durante la situación de alta especial motivada por huelga legal o cierre patronal, el 0,94.</w:t>
      </w:r>
    </w:p>
    <w:p w:rsidR="009A0316" w:rsidRPr="009A1928" w:rsidRDefault="009A0316" w:rsidP="00437BB2">
      <w:pPr>
        <w:jc w:val="both"/>
      </w:pPr>
      <w:r w:rsidRPr="009A1928">
        <w:t>d) En los supuestos de trabajadores perceptores del subsidio de desempleo, con derecho a cotización por la contingencia de jubilación, que suscriban el convenio especial regulado por el artículo 24 de la Orden TAS/2865/2003, de 13 de octubre:</w:t>
      </w:r>
    </w:p>
    <w:p w:rsidR="009A0316" w:rsidRPr="009A1928" w:rsidRDefault="009A0316" w:rsidP="00437BB2">
      <w:pPr>
        <w:jc w:val="both"/>
      </w:pPr>
      <w:r w:rsidRPr="009A1928">
        <w:t>Por la totalidad de la base de cotización elegida por el interesado, para la cobertura de las contingencias de incapacidad permanente y muerte y supervivencia, el 0,14.</w:t>
      </w:r>
    </w:p>
    <w:p w:rsidR="009A0316" w:rsidRPr="009A1928" w:rsidRDefault="009A0316" w:rsidP="00437BB2">
      <w:pPr>
        <w:jc w:val="both"/>
      </w:pPr>
      <w:r w:rsidRPr="009A1928">
        <w:t>Por la diferencia entre dicha base de cotización y aquella por la que cotice en cada momento el Servicio Público de Empleo Estatal, para la cobertura de la contingencia de jubilación, el 0,80.</w:t>
      </w:r>
    </w:p>
    <w:p w:rsidR="009A0316" w:rsidRPr="009A1928" w:rsidRDefault="009A0316" w:rsidP="00437BB2">
      <w:pPr>
        <w:jc w:val="both"/>
      </w:pPr>
      <w:r w:rsidRPr="009A1928">
        <w:t>Si el Convenio especial se hubiera suscrito con anterioridad a 1 de enero de 1998 o trajera su causa de expedientes de regulación de empleo autorizados con anterioridad a esa misma fecha, se aplicarán los siguientes coeficientes:</w:t>
      </w:r>
    </w:p>
    <w:p w:rsidR="009A0316" w:rsidRPr="009A1928" w:rsidRDefault="009A0316" w:rsidP="00437BB2">
      <w:pPr>
        <w:jc w:val="both"/>
      </w:pPr>
      <w:r w:rsidRPr="009A1928">
        <w:t>Por la totalidad de la base de cotización elegida por el interesado, para la cobertura de las contingencias de incapacidad permanente y muerte y supervivencia, el 0,33.</w:t>
      </w:r>
    </w:p>
    <w:p w:rsidR="009A0316" w:rsidRPr="009A1928" w:rsidRDefault="009A0316" w:rsidP="00437BB2">
      <w:pPr>
        <w:jc w:val="both"/>
      </w:pPr>
      <w:r w:rsidRPr="009A1928">
        <w:t>Por la diferencia entre dicha base de cotización y aquella por la que cotice en cada momento el Servicio Público de Empleo Estatal, para la cobertura de la contingencia de jubilación, el 0,40.</w:t>
      </w:r>
    </w:p>
    <w:p w:rsidR="009A0316" w:rsidRPr="009A1928" w:rsidRDefault="009A0316" w:rsidP="00437BB2">
      <w:pPr>
        <w:jc w:val="both"/>
      </w:pPr>
      <w:r w:rsidRPr="009A1928">
        <w:t>e) En los Convenios especiales regulados por el Real Decreto 2805/1979, de 7 de diciembre, sobre inclusión en el Régimen General de la Seguridad Social de los españoles no residentes en territorio nacional que ostenten la condición de funcionarios o empleados de organizaciones internacionales intergubernamentales, cuando se hubieren suscrito antes de 1 de enero de 2000, se aplicará el 0,77. A los suscritos con posterioridad a dicha fecha les será de aplicación el 0,94.</w:t>
      </w:r>
    </w:p>
    <w:p w:rsidR="009A0316" w:rsidRPr="009A1928" w:rsidRDefault="009A0316" w:rsidP="00437BB2">
      <w:pPr>
        <w:jc w:val="both"/>
      </w:pPr>
      <w:r w:rsidRPr="009A1928">
        <w:t>f) En los supuestos de convenio especial suscrito por quienes pasen a prestar servicios en la Administración de la Unión Europea, para la cobertura de las prestaciones por incapacidad permanente, el 0,25.</w:t>
      </w:r>
    </w:p>
    <w:p w:rsidR="009A0316" w:rsidRPr="009A1928" w:rsidRDefault="009A0316" w:rsidP="00437BB2">
      <w:pPr>
        <w:jc w:val="both"/>
      </w:pPr>
      <w:r w:rsidRPr="009A1928">
        <w:t>g) En los convenios especiales suscritos al amparo del Real Decreto 996/1986, de 25 de abril, por el que se regula la suscripción de convenio especial de emigrantes e hijos de emigrantes, se aplicará el 0,77.</w:t>
      </w:r>
    </w:p>
    <w:p w:rsidR="009A0316" w:rsidRPr="009A1928" w:rsidRDefault="009A0316" w:rsidP="00437BB2">
      <w:pPr>
        <w:jc w:val="both"/>
      </w:pPr>
      <w:r w:rsidRPr="009A1928">
        <w:t>h) En los convenios especiales suscritos al amparo del Real Decreto 615/2007, de 11 de mayo, por el que se regula la Seguridad Social de los cuidadores de las personas en situación de dependencia, se aplicará el 0,77. Igualmente, se efectuará una cotización por formación profesional en una cuantía equivalente al 0,20 por ciento de la base de cotización a que se refiere el artículo 4.1 del citado real decreto.</w:t>
      </w:r>
    </w:p>
    <w:p w:rsidR="009A0316" w:rsidRPr="009A1928" w:rsidRDefault="009A0316" w:rsidP="00437BB2">
      <w:pPr>
        <w:jc w:val="both"/>
      </w:pPr>
      <w:r w:rsidRPr="009A1928">
        <w:t>i) En los convenios especiales suscritos al amparo de lo dispuesto en la disposición adicional primera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se aplicará el 0,77.</w:t>
      </w:r>
    </w:p>
    <w:p w:rsidR="009A0316" w:rsidRPr="009A1928" w:rsidRDefault="009A0316" w:rsidP="00437BB2">
      <w:pPr>
        <w:jc w:val="both"/>
      </w:pPr>
      <w:r w:rsidRPr="009A1928">
        <w:t>j) En los convenios especiales suscritos al amparo del Real Decreto 156/2013, de 1 de marzo, por el que se regula la suscripción de convenio especial por las personas con discapacidad que tengan especiales dificultades de inserción laboral, se aplicará el 0,89.</w:t>
      </w:r>
    </w:p>
    <w:p w:rsidR="009A0316" w:rsidRPr="009A1928" w:rsidRDefault="009A0316" w:rsidP="00437BB2">
      <w:pPr>
        <w:jc w:val="both"/>
      </w:pPr>
      <w:r w:rsidRPr="009A1928">
        <w:t>2. Para determinar la cotización en los supuestos señalados en el apartado anterior se calculará la cuota íntegra aplicando a la base de cotización que corresponda el tipo único de cotización vigente en el Régimen General, y el resultado obtenido se multiplicará por el coeficiente que en cada caso corresponda, constituyendo el producto que resulte la cuota a ingresar.</w:t>
      </w:r>
    </w:p>
    <w:p w:rsidR="009A0316" w:rsidRPr="009A1928" w:rsidRDefault="009A0316" w:rsidP="00437BB2">
      <w:pPr>
        <w:jc w:val="both"/>
      </w:pPr>
      <w:r w:rsidRPr="009A1928">
        <w:t>Sección 7</w:t>
      </w:r>
      <w:r w:rsidRPr="009A1928">
        <w:br/>
      </w:r>
      <w:r w:rsidRPr="009A1928">
        <w:br/>
        <w:t>Coeficiente aplicable para determinar la cotización en supuestos de subsidio por desempleo de nivel asistencial</w:t>
      </w:r>
    </w:p>
    <w:p w:rsidR="009A0316" w:rsidRPr="009A1928" w:rsidRDefault="009A0316" w:rsidP="00437BB2">
      <w:pPr>
        <w:jc w:val="both"/>
      </w:pPr>
      <w:r w:rsidRPr="009A1928">
        <w:t xml:space="preserve">Artículo 23 Determinación del coeficiente </w:t>
      </w:r>
    </w:p>
    <w:p w:rsidR="009A0316" w:rsidRPr="009A1928" w:rsidRDefault="009A0316" w:rsidP="00437BB2">
      <w:pPr>
        <w:jc w:val="both"/>
      </w:pPr>
      <w:r w:rsidRPr="009A1928">
        <w:t>Para determinar la cotización que corresponde efectuar por los trabajadores beneficiarios del subsidio de desempleo a que se refiere el artículo 280 del texto refundido de la Ley General de la Seguridad Social, incluidos los trabajadores por cuenta ajena de carácter fijo del Sistema Especial para Trabajadores por Cuenta Ajena Agrarios establecido en el Régimen General de la Seguridad Social, se aplicará el coeficiente reductor 0,20, a deducir de la cuota íntegra resultante.</w:t>
      </w:r>
    </w:p>
    <w:p w:rsidR="009A0316" w:rsidRPr="009A1928" w:rsidRDefault="009A0316" w:rsidP="00437BB2">
      <w:pPr>
        <w:jc w:val="both"/>
      </w:pPr>
      <w:r w:rsidRPr="009A1928">
        <w:t>Sección 8</w:t>
      </w:r>
      <w:r w:rsidRPr="009A1928">
        <w:br/>
      </w:r>
      <w:r w:rsidRPr="009A1928">
        <w:br/>
        <w:t>Financiación de las funciones y actividades atribuidas a las mutuas colaboradoras con la Seguridad Social en relación con la cobertura de la prestación económica de incapacidad temporal</w:t>
      </w:r>
    </w:p>
    <w:p w:rsidR="009A0316" w:rsidRPr="009A1928" w:rsidRDefault="009A0316" w:rsidP="00437BB2">
      <w:pPr>
        <w:jc w:val="both"/>
      </w:pPr>
      <w:r w:rsidRPr="009A1928">
        <w:t xml:space="preserve">Artículo 24 Determinación de la fracción de cuota </w:t>
      </w:r>
    </w:p>
    <w:p w:rsidR="009A0316" w:rsidRPr="009A1928" w:rsidRDefault="009A0316" w:rsidP="00437BB2">
      <w:pPr>
        <w:jc w:val="both"/>
      </w:pPr>
      <w:r w:rsidRPr="009A1928">
        <w:t>1. La financiación de las funciones y actividades atribuidas a las mutuas colaboradoras con la Seguridad Social para la gestión de la prestación económica por incapacidad temporal derivada de contingencias comunes a favor de los trabajadores de las empresas asociadas que hayan optado por formalizar la cobertura con ellas se efectuará durante el año 2019 mediante la fracción de cuota a que se refiere el artículo 71.2 del Reglamento sobre colaboración de dichas entidades, aprobado por el Real Decreto 1993/1995, de 7 de diciembre, aplicando el coeficiente del 0,051 sobre la cuota íntegra correspondiente a la aportación empresarial y de los trabajadores por contingencias comunes. Dicho coeficiente será del 0,055 para aquellas mutuas que acrediten la insuficiencia financiera del coeficiente general en base a circunstancias estructurales, todo ello en los términos que con la suficiente antelación se determinen por la Dirección General de Ordenación de la Seguridad Social, mediante resolución dictada al efecto y publicada en el «Boletín Oficial del Estado».</w:t>
      </w:r>
    </w:p>
    <w:p w:rsidR="009A0316" w:rsidRPr="009A1928" w:rsidRDefault="009A0316" w:rsidP="00437BB2">
      <w:pPr>
        <w:jc w:val="both"/>
      </w:pPr>
      <w:r w:rsidRPr="009A1928">
        <w:t>Así mismo, en aquellos supuestos en los que la suma de los resultados a distribuir para la aplicación o dotación de reservas de contingencias comunes y profesionales resulte negativa tras el reconocimiento del coeficiente que corresponda, fijado en el párrafo anterior, la fracción de cuota se aumentará en tanto que la citada suma de resultados sea negativa, con el tope máximo que corresponda al coeficiente del 0,06.</w:t>
      </w:r>
    </w:p>
    <w:p w:rsidR="009A0316" w:rsidRPr="009A1928" w:rsidRDefault="009A0316" w:rsidP="00437BB2">
      <w:pPr>
        <w:jc w:val="both"/>
      </w:pPr>
      <w:r w:rsidRPr="009A1928">
        <w:t>No obstante lo indicado anteriormente, en el Sistema Especial para Trabajadores por Cuenta Ajena Agrarios establecido en el Régimen General de la Seguridad Social, la determinación de la fracción de cuota a que se refiere el artículo 71.2 del Reglamento sobre colaboración citado se efectuará aplicando el coeficiente del 0,030 sobre la cuota íntegra correspondiente a la aportación empresarial y de los trabajadores por contingencias comunes; coeficiente que será del 0,033 para aquellas mutuas que acrediten la insuficiencia financiera de dicho coeficiente en base a circunstancias estructurales, con los mismos requisitos que los exigidos en el primer párrafo para la aplicación del coeficiente específico para los supuestos de insuficiencia financiera en base a circunstancias estructurales.</w:t>
      </w:r>
    </w:p>
    <w:p w:rsidR="009A0316" w:rsidRPr="009A1928" w:rsidRDefault="009A0316" w:rsidP="00437BB2">
      <w:pPr>
        <w:jc w:val="both"/>
      </w:pPr>
      <w:r w:rsidRPr="009A1928">
        <w:t>2. La fracción de cuota prevista en el artículo 76.2 del Reglamento citado en el apartado anterior, que deben percibir las mutuas colaboradoras con la Seguridad Social para la financiación de la cobertura de la prestación económica por incapacidad temporal de los trabajadores incluidos en el Régimen Especial de los Trabajadores por Cuenta Propia o Autónomos se fija para el ejercicio del año 2019 en el resultado de aplicar el coeficiente del 0,055 sobre la cuota íntegra correspondiente a los trabajadores autónomos por contingencias comunes.</w:t>
      </w:r>
    </w:p>
    <w:p w:rsidR="009A0316" w:rsidRPr="009A1928" w:rsidRDefault="009A0316" w:rsidP="00437BB2">
      <w:pPr>
        <w:jc w:val="both"/>
      </w:pPr>
      <w:r w:rsidRPr="009A1928">
        <w:t>3. La fracción de cuota prevista en el artículo 76.2 del Reglamento citado en el apartado 1, que deben percibir las mutuas colaboradoras con la Seguridad Social para la financiación de la cobertura de la prestación económica por incapacidad temporal de los trabajadores incluidos en el Sistema Especial para Trabajadores por Cuenta Propia Agrarios establecido en el Régimen Especial de los Trabajadores por Cuenta Propia o Autónomos, se fija para el ejercicio del año 2019 en el resultado de aplicar el tipo del 2,70 o del 3,20 por ciento a la correspondiente base de cotización, según se disponga o no de protección por contingencias profesionales o por cese de actividad.</w:t>
      </w:r>
    </w:p>
    <w:p w:rsidR="009A0316" w:rsidRPr="009A1928" w:rsidRDefault="009A0316" w:rsidP="00437BB2">
      <w:pPr>
        <w:jc w:val="both"/>
      </w:pPr>
      <w:r w:rsidRPr="009A1928">
        <w:t>Sección 9</w:t>
      </w:r>
      <w:r w:rsidRPr="009A1928">
        <w:br/>
      </w:r>
      <w:r w:rsidRPr="009A1928">
        <w:br/>
        <w:t>Coeficientes aplicables para determinar las aportaciones a cargo de las mutuas colaboradoras con la Seguridad Social y empresas colaboradoras para el sostenimiento de los servicios comunes</w:t>
      </w:r>
    </w:p>
    <w:p w:rsidR="009A0316" w:rsidRPr="009A1928" w:rsidRDefault="009A0316" w:rsidP="00437BB2">
      <w:pPr>
        <w:jc w:val="both"/>
      </w:pPr>
      <w:r w:rsidRPr="009A1928">
        <w:t xml:space="preserve">Artículo 25 Coeficientes aplicables </w:t>
      </w:r>
    </w:p>
    <w:p w:rsidR="009A0316" w:rsidRPr="009A1928" w:rsidRDefault="009A0316" w:rsidP="00437BB2">
      <w:pPr>
        <w:jc w:val="both"/>
      </w:pPr>
      <w:r w:rsidRPr="009A1928">
        <w:t>1. Las aportaciones de las mutuas colaboradoras con la Seguridad Social para el sostenimiento de los servicios comunes de la Seguridad Social, a que se refiere el artículo 75 del Reglamento general sobre cotización y liquidación de otros derechos de la Seguridad Social, se determinarán aplicando el coeficiente del 16,00 por ciento.</w:t>
      </w:r>
    </w:p>
    <w:p w:rsidR="009A0316" w:rsidRPr="009A1928" w:rsidRDefault="009A0316" w:rsidP="00437BB2">
      <w:pPr>
        <w:jc w:val="both"/>
      </w:pPr>
      <w:r w:rsidRPr="009A1928">
        <w:t>La Tesorería General de la Seguridad Social aplicará el coeficiente señalado en el párrafo anterior sobre las cuotas ingresadas que correspondan a cada una de las mutuas afectadas, una vez descontada la parte relativa al reaseguro obligatorio.</w:t>
      </w:r>
    </w:p>
    <w:p w:rsidR="009A0316" w:rsidRPr="009A1928" w:rsidRDefault="009A0316" w:rsidP="00437BB2">
      <w:pPr>
        <w:jc w:val="both"/>
      </w:pPr>
      <w:r w:rsidRPr="009A1928">
        <w:t>2. Se fija en el 31,00 por ciento el coeficiente para determinar la cantidad que deben ingresar las empresas autorizadas a colaborar en la gestión de la asistencia sanitaria e incapacidad temporal derivadas de las contingencias de accidentes de trabajo y enfermedades profesionales, en concepto de aportación para el sostenimiento de los servicios comunes de la Seguridad Social y de contribución a los demás gastos generales y a las exigencias de solidaridad nacional.</w:t>
      </w:r>
    </w:p>
    <w:p w:rsidR="009A0316" w:rsidRPr="009A1928" w:rsidRDefault="009A0316" w:rsidP="00437BB2">
      <w:pPr>
        <w:jc w:val="both"/>
      </w:pPr>
      <w:r w:rsidRPr="009A1928">
        <w:t>El citado coeficiente se aplicará a las cuotas de accidentes de trabajo y enfermedades profesionales recaudadas por incapacidad permanente y muerte y supervivencia.</w:t>
      </w:r>
    </w:p>
    <w:p w:rsidR="009A0316" w:rsidRPr="009A1928" w:rsidRDefault="009A0316" w:rsidP="00437BB2">
      <w:pPr>
        <w:jc w:val="both"/>
      </w:pPr>
      <w:r w:rsidRPr="009A1928">
        <w:t>Sección 10</w:t>
      </w:r>
      <w:r w:rsidRPr="009A1928">
        <w:br/>
      </w:r>
      <w:r w:rsidRPr="009A1928">
        <w:br/>
        <w:t>Cotización a la Seguridad Social en supuestos especiales</w:t>
      </w:r>
    </w:p>
    <w:p w:rsidR="009A0316" w:rsidRPr="009A1928" w:rsidRDefault="009A0316" w:rsidP="00437BB2">
      <w:pPr>
        <w:jc w:val="both"/>
      </w:pPr>
      <w:r w:rsidRPr="009A1928">
        <w:t xml:space="preserve">Artículo 26 Incremento en la cuota empresarial por contingencias comunes en los contratos temporales de corta duración </w:t>
      </w:r>
    </w:p>
    <w:p w:rsidR="009A0316" w:rsidRPr="009A1928" w:rsidRDefault="009A0316" w:rsidP="00437BB2">
      <w:pPr>
        <w:jc w:val="both"/>
      </w:pPr>
      <w:r w:rsidRPr="009A1928">
        <w:t>En los contratos de carácter temporal cuya duración efectiva sea igual o inferior a cinco días la cuota empresarial a la Seguridad Social por contingencias comunes se incrementará en un 40 por ciento. Dicho incremento no será de aplicación a los trabajadores incluidos en el Sistema Especial para Trabajadores por Cuenta Ajena Agrarios establecido en el Régimen General de la Seguridad Social.</w:t>
      </w:r>
    </w:p>
    <w:p w:rsidR="009A0316" w:rsidRPr="009A1928" w:rsidRDefault="009A0316" w:rsidP="00437BB2">
      <w:pPr>
        <w:jc w:val="both"/>
      </w:pPr>
      <w:r w:rsidRPr="009A1928">
        <w:t xml:space="preserve">Artículo 27 Cotización en los supuestos de abono de salarios con carácter retroactivo </w:t>
      </w:r>
    </w:p>
    <w:p w:rsidR="009A0316" w:rsidRPr="009A1928" w:rsidRDefault="009A0316" w:rsidP="00437BB2">
      <w:pPr>
        <w:jc w:val="both"/>
      </w:pPr>
      <w:r w:rsidRPr="009A1928">
        <w:t>1. Cuando hayan de abonarse salarios con carácter retroactivo, el ingreso de las liquidaciones que deban de efectuarse a la Seguridad Social, desempleo, Fondo de Garantía Salarial y formación profesional, como consecuencia de ellos, se realizará en los plazos señalados en el artículo 56.1.c) del Reglamento general de recaudación de la Seguridad Social, aprobado por el Real Decreto 1415/2004, de 11 de junio.</w:t>
      </w:r>
    </w:p>
    <w:p w:rsidR="009A0316" w:rsidRPr="009A1928" w:rsidRDefault="009A0316" w:rsidP="00437BB2">
      <w:pPr>
        <w:jc w:val="both"/>
      </w:pPr>
      <w:r w:rsidRPr="009A1928">
        <w:t>En dichos supuestos, el ingreso se efectuará mediante la correspondiente liquidación complementaria, a cuyo fin se tomarán las bases, topes, tipos y condiciones vigentes en los meses a que los citados salarios correspondan.</w:t>
      </w:r>
    </w:p>
    <w:p w:rsidR="009A0316" w:rsidRPr="009A1928" w:rsidRDefault="009A0316" w:rsidP="00437BB2">
      <w:pPr>
        <w:jc w:val="both"/>
      </w:pPr>
      <w:r w:rsidRPr="009A1928">
        <w:t>2. De igual forma se liquidarán aquellas gratificaciones que no puedan ser objeto de cuantificación anticipada total o parcialmente, a efectos del prorrateo establecido en el artículo 1, a cuyo fin las empresas deberán formalizar una liquidación complementaria por las diferencias de cotización relativas a los meses del año ya transcurridos, e incrementar, en la parte que corresponda, las cotizaciones pendientes de ingresar durante el ejercicio económico del año 2019.</w:t>
      </w:r>
    </w:p>
    <w:p w:rsidR="009A0316" w:rsidRPr="009A1928" w:rsidRDefault="009A0316" w:rsidP="00437BB2">
      <w:pPr>
        <w:jc w:val="both"/>
      </w:pPr>
      <w:r w:rsidRPr="009A1928">
        <w:t>3. Las liquidaciones complementarias a que se refieren los apartados anteriores se confeccionarán con detalle separado de cada uno de los meses transcurridos.</w:t>
      </w:r>
    </w:p>
    <w:p w:rsidR="009A0316" w:rsidRPr="009A1928" w:rsidRDefault="009A0316" w:rsidP="00437BB2">
      <w:pPr>
        <w:jc w:val="both"/>
      </w:pPr>
      <w:r w:rsidRPr="009A1928">
        <w:t xml:space="preserve">Artículo 28 Cotización por percepciones correspondientes a vacaciones devengadas y no disfrutadas </w:t>
      </w:r>
    </w:p>
    <w:p w:rsidR="009A0316" w:rsidRPr="009A1928" w:rsidRDefault="009A0316" w:rsidP="00437BB2">
      <w:pPr>
        <w:jc w:val="both"/>
      </w:pPr>
      <w:r w:rsidRPr="009A1928">
        <w:t>Las percepciones correspondientes a vacaciones anuales devengadas y no disfrutadas y que sean retribuidas a la finalización de la relación laboral serán objeto de liquidación y cotización complementaria a la del mes de la extinción del contrato.</w:t>
      </w:r>
    </w:p>
    <w:p w:rsidR="009A0316" w:rsidRPr="009A1928" w:rsidRDefault="009A0316" w:rsidP="00437BB2">
      <w:pPr>
        <w:jc w:val="both"/>
      </w:pPr>
      <w:r w:rsidRPr="009A1928">
        <w:t>La liquidación y cotización complementaria comprenderán los días de duración de las vacaciones, aun cuando alcancen también el siguiente mes natural o se inicie una nueva relación laboral durante los mismos, sin prorrateo alguno y con aplicación, en su caso, del tope máximo de cotización correspondiente al mes o meses que resulten afectados.</w:t>
      </w:r>
    </w:p>
    <w:p w:rsidR="009A0316" w:rsidRPr="009A1928" w:rsidRDefault="009A0316" w:rsidP="00437BB2">
      <w:pPr>
        <w:jc w:val="both"/>
      </w:pPr>
      <w:r w:rsidRPr="009A1928">
        <w:t xml:space="preserve">No </w:t>
      </w:r>
      <w:r w:rsidR="00374580" w:rsidRPr="009A1928">
        <w:t>obstante,</w:t>
      </w:r>
      <w:r w:rsidRPr="009A1928">
        <w:t xml:space="preserve"> lo establecido en el párrafo anterior, en los supuestos en que, mediante ley o en ejecución de la misma, se establezca que la remuneración a percibir por el trabajador deba incluir la parte proporcional correspondiente a las vacaciones devengadas, se aplicarán las normas generales de cotización.</w:t>
      </w:r>
    </w:p>
    <w:p w:rsidR="009A0316" w:rsidRPr="009A1928" w:rsidRDefault="009A0316" w:rsidP="00437BB2">
      <w:pPr>
        <w:jc w:val="both"/>
      </w:pPr>
      <w:r w:rsidRPr="009A1928">
        <w:t xml:space="preserve">Artículo 29 Cotización por los salarios de tramitación </w:t>
      </w:r>
    </w:p>
    <w:p w:rsidR="009A0316" w:rsidRPr="009A1928" w:rsidRDefault="009A0316" w:rsidP="00437BB2">
      <w:pPr>
        <w:jc w:val="both"/>
      </w:pPr>
      <w:r w:rsidRPr="009A1928">
        <w:t>De acuerdo con lo dispuesto en el artículo 268.6 del texto refundido de la Ley General de la Seguridad Social, el empresario es el sujeto responsable del cumplimiento de la obligación de cotizar por los salarios de tramitación en los supuestos a que se refiere el artículo 56 del texto refundido de la Ley del Estatuto de los Trabajadores, sin perjuicio de su derecho a reclamar del Estado el importe de las cuotas correspondientes a dichos salarios en los términos previstos en el artículo 56.5 de esta última ley y en el Real Decreto 418/2014, de 6 de junio, por el que se modifica el procedimiento de tramitación de las reclamaciones al Estado por salarios de tramitación en juicios por despido y demás disposiciones complementarias.</w:t>
      </w:r>
    </w:p>
    <w:p w:rsidR="009A0316" w:rsidRPr="009A1928" w:rsidRDefault="009A0316" w:rsidP="00437BB2">
      <w:pPr>
        <w:jc w:val="both"/>
      </w:pPr>
      <w:r w:rsidRPr="009A1928">
        <w:t>El ingreso de las cuotas correspondientes se efectuará en el plazo previsto en el artículo 56.1.c).4.º, del Reglamento general de recaudación de la Seguridad Social.</w:t>
      </w:r>
    </w:p>
    <w:p w:rsidR="009A0316" w:rsidRPr="009A1928" w:rsidRDefault="009A0316" w:rsidP="00437BB2">
      <w:pPr>
        <w:jc w:val="both"/>
      </w:pPr>
      <w:r w:rsidRPr="009A1928">
        <w:t xml:space="preserve">Artículo 30 Tipo de cotización en supuestos especiales </w:t>
      </w:r>
    </w:p>
    <w:p w:rsidR="009A0316" w:rsidRPr="009A1928" w:rsidRDefault="009A0316" w:rsidP="00437BB2">
      <w:pPr>
        <w:jc w:val="both"/>
      </w:pPr>
      <w:r w:rsidRPr="009A1928">
        <w:t>1. El tipo de cotización por incapacidad temporal derivada de contingencias comunes en los supuestos a que se refiere el artículo 152 del texto refundido de la Ley General de la Seguridad Social, será el 1,50 por ciento, del que el 1,25 por ciento será a cargo de la empresa y el 0,25 por ciento a cargo del trabajador.</w:t>
      </w:r>
    </w:p>
    <w:p w:rsidR="009A0316" w:rsidRPr="009A1928" w:rsidRDefault="009A0316" w:rsidP="00437BB2">
      <w:pPr>
        <w:jc w:val="both"/>
      </w:pPr>
      <w:r w:rsidRPr="009A1928">
        <w:t>2. El tipo de cotización por incapacidad temporal en los supuestos a que se refiere el artículo 311 del texto refundido de la Ley General de la Seguridad Social será el 1,56 por ciento para los trabajadores por cuenta propia o autónomos y para los trabajadores por cuenta propia del Régimen Especial de los Trabajadores del Mar.</w:t>
      </w:r>
    </w:p>
    <w:p w:rsidR="009A0316" w:rsidRPr="009A1928" w:rsidRDefault="009A0316" w:rsidP="00437BB2">
      <w:pPr>
        <w:jc w:val="both"/>
      </w:pPr>
      <w:r w:rsidRPr="009A1928">
        <w:t>3. El tipo de cotización por incapacidad temporal en los supuestos a que se refiere el artículo 311 del texto refundido de la Ley General de la Seguridad Social será el 3,30 o el 2,80 por ciento, según proceda, para trabajadores por cuenta propia agrarios incluidos en el sistema especial a que se refiere el artículo 16 de esta orden.</w:t>
      </w:r>
    </w:p>
    <w:p w:rsidR="009A0316" w:rsidRPr="009A1928" w:rsidRDefault="009A0316" w:rsidP="00437BB2">
      <w:pPr>
        <w:jc w:val="both"/>
      </w:pPr>
      <w:r w:rsidRPr="009A1928">
        <w:t>4. En relación con los bomberos a que se refiere el Real Decreto 383/2008, de 14 de marzo, por el que se establece el coeficiente reductor de la edad de jubilación en favor de los bomberos al servicio de las administraciones y organismos públicos, procederá aplicar un tipo de cotización adicional del 10,60 por ciento, del que el 8,84 por ciento será a cargo de la empresa y el 1,76 por ciento a cargo del trabajador.</w:t>
      </w:r>
    </w:p>
    <w:p w:rsidR="009A0316" w:rsidRPr="009A1928" w:rsidRDefault="009A0316" w:rsidP="00437BB2">
      <w:pPr>
        <w:jc w:val="both"/>
      </w:pPr>
      <w:r w:rsidRPr="009A1928">
        <w:t>5. En relación con los miembros del Cuerpo de la Ertzaintza a que se refiere la disposición adicional vigésima del texto refundido de la Ley General de la Seguridad Social, procederá aplicar un tipo de cotización adicional del 9,90 por ciento, del que el 8,26 por ciento será a cargo de la empresa y el 1,64 por ciento a cargo del trabajador.</w:t>
      </w:r>
    </w:p>
    <w:p w:rsidR="009A0316" w:rsidRPr="009A1928" w:rsidRDefault="009A0316" w:rsidP="00437BB2">
      <w:pPr>
        <w:jc w:val="both"/>
      </w:pPr>
      <w:r w:rsidRPr="009A1928">
        <w:t>6. En relación con los miembros de los cuerpos de Policía local al servicio de las administraciones locales a que se refiere la disposición adicional centésima sexagésima cuarta de la Ley 6/2018, de 3 de julio, y el Real Decreto 1449/2018, de 14 de diciembre, por el que se establece el coeficiente reductor de la edad de jubilación en favor de los policías locales al servicio de las entidades que integran la Administración local, procederá aplicar un tipo de cotización adicional del 10,60 por ciento, del que el 8,84 por ciento será a cargo de la administración y el 1,76 por ciento a cargo del funcionario.</w:t>
      </w:r>
    </w:p>
    <w:p w:rsidR="009A0316" w:rsidRPr="009A1928" w:rsidRDefault="009A0316" w:rsidP="00437BB2">
      <w:pPr>
        <w:jc w:val="both"/>
      </w:pPr>
      <w:r w:rsidRPr="009A1928">
        <w:t xml:space="preserve">Artículo 31 Reducción de cotizaciones por contingencias profesionales. Valores límite y volumen de cotización aplicables al ejercicio 2018 </w:t>
      </w:r>
    </w:p>
    <w:p w:rsidR="009A0316" w:rsidRPr="009A1928" w:rsidRDefault="009A0316" w:rsidP="00437BB2">
      <w:pPr>
        <w:jc w:val="both"/>
      </w:pPr>
      <w:r w:rsidRPr="009A1928">
        <w:t>De conformidad con lo previsto en el artículo 3.3 del Real Decreto 231/2017, de 10 de marzo, por el que se regula el establecimiento de un sistema de reducción de las cotizaciones por contingencias profesionales a las empresas que hayan disminuido de manera considerable la siniestralidad laboral, en el anexo de esta orden se fijan para el ejercicio 2018 los valores límite de los índices de siniestralidad general y de siniestralidad extrema a tener en cuenta para el cálculo del incentivo aplicable.</w:t>
      </w:r>
    </w:p>
    <w:p w:rsidR="009A0316" w:rsidRPr="009A1928" w:rsidRDefault="009A0316" w:rsidP="00437BB2">
      <w:pPr>
        <w:jc w:val="both"/>
      </w:pPr>
      <w:r w:rsidRPr="009A1928">
        <w:t>Para el ejercicio 2018 el volumen de cotización por contingencias profesionales a superar durante el período de observación, a que se refiere el mencionado artículo 3.3 del Real Decreto 231/2017, de 10 de marzo, será de 5.000 euros, conforme a lo previsto en el artículo 2.1.a) del citado real decreto.</w:t>
      </w:r>
    </w:p>
    <w:p w:rsidR="009A0316" w:rsidRPr="009A1928" w:rsidRDefault="009A0316" w:rsidP="00437BB2">
      <w:pPr>
        <w:jc w:val="both"/>
      </w:pPr>
      <w:r w:rsidRPr="009A1928">
        <w:t>CAPÍTULO II</w:t>
      </w:r>
      <w:r w:rsidRPr="009A1928">
        <w:br/>
      </w:r>
      <w:r w:rsidRPr="009A1928">
        <w:br/>
        <w:t>Cotización por desempleo, Fondo de Garantía Salarial, formación profesional y por cese de actividad y durante la situación de incapacidad temporal transcurridos 60 días de los trabajadores autónomos</w:t>
      </w:r>
    </w:p>
    <w:p w:rsidR="009A0316" w:rsidRPr="009A1928" w:rsidRDefault="009A0316" w:rsidP="00437BB2">
      <w:pPr>
        <w:jc w:val="both"/>
      </w:pPr>
      <w:r w:rsidRPr="009A1928">
        <w:t xml:space="preserve">Artículo 32 Bases y tipos de cotización por desempleo, Fondo de Garantía Salarial y formación profesional de los trabajadores por cuenta ajena </w:t>
      </w:r>
    </w:p>
    <w:p w:rsidR="009A0316" w:rsidRPr="009A1928" w:rsidRDefault="009A0316" w:rsidP="00437BB2">
      <w:pPr>
        <w:jc w:val="both"/>
      </w:pPr>
      <w:r w:rsidRPr="009A1928">
        <w:t>1. La base de cotización por desempleo, Fondo de Garantía Salarial y formación profesional de los trabajadores por cuenta ajena, en todos los regímenes de la Seguridad Social que tengan cubiertas tales contingencias, a excepción de los trabajadores incluidos en los grupos segundo y tercero del Régimen Especial de la Seguridad Social de los Trabajadores del Mar, cuya base de cotización será determinada mediante Orden del Ministerio de Trabajo, Migraciones y Seguridad Social, será la correspondiente a las contingencias de accidentes de trabajo y enfermedades profesionales.</w:t>
      </w:r>
    </w:p>
    <w:p w:rsidR="009A0316" w:rsidRPr="009A1928" w:rsidRDefault="009A0316" w:rsidP="00437BB2">
      <w:pPr>
        <w:jc w:val="both"/>
      </w:pPr>
      <w:r w:rsidRPr="009A1928">
        <w:t>En los supuestos de contratos para la formación y el aprendizaje, se estará a lo previsto en el artículo 44.</w:t>
      </w:r>
    </w:p>
    <w:p w:rsidR="009A0316" w:rsidRPr="009A1928" w:rsidRDefault="009A0316" w:rsidP="00437BB2">
      <w:pPr>
        <w:jc w:val="both"/>
      </w:pPr>
      <w:r w:rsidRPr="009A1928">
        <w:t>Con independencia de su inclusión en la base de cotización por desempleo, en el cálculo de la base reguladora de la prestación se excluirá la retribución por horas extraordinarias, según dispone el artículo 270.1 del texto refundido de la Ley General de la Seguridad Social.</w:t>
      </w:r>
    </w:p>
    <w:p w:rsidR="009A0316" w:rsidRPr="009A1928" w:rsidRDefault="009A0316" w:rsidP="00437BB2">
      <w:pPr>
        <w:jc w:val="both"/>
      </w:pPr>
      <w:r w:rsidRPr="009A1928">
        <w:t>2. Los tipos de cotización por desempleo, Fondo de Garantía Salarial y formación profesional serán, a partir de 1 de enero de 2019, los siguientes:</w:t>
      </w:r>
    </w:p>
    <w:p w:rsidR="009A0316" w:rsidRPr="009A1928" w:rsidRDefault="009A0316" w:rsidP="00437BB2">
      <w:pPr>
        <w:jc w:val="both"/>
      </w:pPr>
      <w:r w:rsidRPr="009A1928">
        <w:t>a) Desempleo:</w:t>
      </w:r>
    </w:p>
    <w:p w:rsidR="009A0316" w:rsidRPr="009A1928" w:rsidRDefault="009A0316" w:rsidP="00437BB2">
      <w:pPr>
        <w:jc w:val="both"/>
      </w:pPr>
      <w:r w:rsidRPr="009A1928">
        <w:t>1.º Contratación indefinida, incluidos los contratos indefinidos a tiempo parcial y fijos discontinuos, así como la contratación de duración determinada en las modalidades de contratos formativos en prácticas y para la formación y el aprendizaje, de relevo, interinidad y contratos, cualquiera que sea la modalidad utilizada, realizados con trabajadores que tengan reconocido un grado de discapacidad no inferior al 33 por ciento: 7,05 por ciento, del que el 5,50 por ciento será a cargo de la empresa y el 1,55 por ciento a cargo del trabajador.</w:t>
      </w:r>
    </w:p>
    <w:p w:rsidR="009A0316" w:rsidRPr="009A1928" w:rsidRDefault="009A0316" w:rsidP="00437BB2">
      <w:pPr>
        <w:jc w:val="both"/>
      </w:pPr>
      <w:r w:rsidRPr="009A1928">
        <w:t>2.º Contratación de duración determinada:</w:t>
      </w:r>
    </w:p>
    <w:p w:rsidR="009A0316" w:rsidRPr="009A1928" w:rsidRDefault="009A0316" w:rsidP="00437BB2">
      <w:pPr>
        <w:jc w:val="both"/>
      </w:pPr>
      <w:r w:rsidRPr="009A1928">
        <w:t>Contratación de duración determinada a tiempo completo: 8,30 por ciento, del que el 6,70 por ciento será a cargo del empresario y el 1,60 por ciento a cargo del trabajador.</w:t>
      </w:r>
    </w:p>
    <w:p w:rsidR="009A0316" w:rsidRPr="009A1928" w:rsidRDefault="009A0316" w:rsidP="00437BB2">
      <w:pPr>
        <w:jc w:val="both"/>
      </w:pPr>
      <w:r w:rsidRPr="009A1928">
        <w:t>Contratación de duración determinada a tiempo parcial: 8,30 por ciento, del que el 6,70 por ciento será a cargo del empresario y el 1,60 por ciento a cargo del trabajador.</w:t>
      </w:r>
    </w:p>
    <w:p w:rsidR="009A0316" w:rsidRPr="009A1928" w:rsidRDefault="009A0316" w:rsidP="00437BB2">
      <w:pPr>
        <w:jc w:val="both"/>
      </w:pPr>
      <w:r w:rsidRPr="009A1928">
        <w:t>3.º Transformación de la contratación de duración determinada en contratación de duración indefinida: Cuando el contrato de duración determinada, a tiempo completo o parcial, se transforme en un contrato de duración indefinida, se aplicará el tipo de cotización previsto en el apartado 2.a).1.º desde el día de la fecha de la transformación.</w:t>
      </w:r>
    </w:p>
    <w:p w:rsidR="009A0316" w:rsidRPr="009A1928" w:rsidRDefault="009A0316" w:rsidP="00437BB2">
      <w:pPr>
        <w:jc w:val="both"/>
      </w:pPr>
      <w:r w:rsidRPr="009A1928">
        <w:t>4.º Socios trabajadores y de trabajo de las cooperativas: Los socios trabajadores de las cooperativas de trabajo asociado, los socios trabajadores de las cooperativas de explotación comunitaria de la tierra, así como los socios de trabajo de las cooperativas, incluidos en regímenes de Seguridad Social que tienen prevista la cotización por desempleo, cotizarán al tipo previsto en el apartado 2.a).1.º, si el vínculo societario con la cooperativa es indefinido, y al tipo previsto en el apartado 2.a).2.º, si el vínculo societario con la cooperativa es de duración determinada.</w:t>
      </w:r>
    </w:p>
    <w:p w:rsidR="009A0316" w:rsidRPr="009A1928" w:rsidRDefault="009A0316" w:rsidP="00437BB2">
      <w:pPr>
        <w:jc w:val="both"/>
      </w:pPr>
      <w:r w:rsidRPr="009A1928">
        <w:t>5.º Colectivos con una relación de servicios de carácter temporal con las administraciones, los servicios de salud o las fuerzas armadas: Los funcionarios de empleo de las administraciones públicas, el personal con nombramiento estatutario temporal de los servicios de salud, los militares de complemento y los militares de tropa y marinería de las fuerzas armadas que mantienen una relación de servicios de carácter temporal cotizarán según lo previsto en el apartado 2.a).1.º, si esos servicios son de interinidad o sustitución, y según lo previsto en el apartado 2.a).2.º, si esos servicios son de carácter eventual.</w:t>
      </w:r>
    </w:p>
    <w:p w:rsidR="009A0316" w:rsidRPr="009A1928" w:rsidRDefault="009A0316" w:rsidP="00437BB2">
      <w:pPr>
        <w:jc w:val="both"/>
      </w:pPr>
      <w:r w:rsidRPr="009A1928">
        <w:t>6.º Reconocimiento de discapacidad durante la vigencia del contrato de duración determinada: El tipo de cotización previsto en el apartado 2.a).2.º se modificará por el establecido en el apartado 2.a).1.º a partir de la fecha en que se reconozca al trabajador un grado de discapacidad no inferior al 33 por ciento.</w:t>
      </w:r>
    </w:p>
    <w:p w:rsidR="009A0316" w:rsidRPr="009A1928" w:rsidRDefault="009A0316" w:rsidP="00437BB2">
      <w:pPr>
        <w:jc w:val="both"/>
      </w:pPr>
      <w:r w:rsidRPr="009A1928">
        <w:t>7.º Representantes de comercio que presten servicios para varias empresas: A los representantes de comercio que presten servicios como tales para varias empresas les será de aplicación el tipo de cotización por desempleo que corresponda a cada contratación.</w:t>
      </w:r>
    </w:p>
    <w:p w:rsidR="009A0316" w:rsidRPr="009A1928" w:rsidRDefault="009A0316" w:rsidP="00437BB2">
      <w:pPr>
        <w:jc w:val="both"/>
      </w:pPr>
      <w:r w:rsidRPr="009A1928">
        <w:t>8.º Internos que trabajen en talleres penitenciarios y menores: A los penados y menores que realicen actividades laborales en talleres penitenciarios y centros de internamiento les será de aplicación el tipo previsto en el apartado 2.a).1.º</w:t>
      </w:r>
    </w:p>
    <w:p w:rsidR="009A0316" w:rsidRPr="009A1928" w:rsidRDefault="009A0316" w:rsidP="00437BB2">
      <w:pPr>
        <w:jc w:val="both"/>
      </w:pPr>
      <w:r w:rsidRPr="009A1928">
        <w:t>9.º Cargos públicos y sindicales: Los cargos públicos y sindicales incluidos en el artículo 264.1.e) y f) del texto refundido de la Ley General de la Seguridad Social, cotizarán al tipo previsto en el apartado 2.a).2.º</w:t>
      </w:r>
    </w:p>
    <w:p w:rsidR="009A0316" w:rsidRPr="009A1928" w:rsidRDefault="009A0316" w:rsidP="00437BB2">
      <w:pPr>
        <w:jc w:val="both"/>
      </w:pPr>
      <w:r w:rsidRPr="009A1928">
        <w:t>10.º Reservistas: Los reservistas voluntarios, salvo cuando sean funcionarios de carrera, y los reservistas de especial disponibilidad, cuando sean activados para prestar servicios en unidades, centros y organismos del Ministerio de Defensa, cotizarán al tipo previsto en el apartado 2.a).2.º</w:t>
      </w:r>
    </w:p>
    <w:p w:rsidR="009A0316" w:rsidRPr="009A1928" w:rsidRDefault="009A0316" w:rsidP="00437BB2">
      <w:pPr>
        <w:jc w:val="both"/>
      </w:pPr>
      <w:r w:rsidRPr="009A1928">
        <w:t>b) Fondo de Garantía Salarial: El 0,20 por ciento, a cargo de la empresa.</w:t>
      </w:r>
    </w:p>
    <w:p w:rsidR="009A0316" w:rsidRPr="009A1928" w:rsidRDefault="009A0316" w:rsidP="00437BB2">
      <w:pPr>
        <w:jc w:val="both"/>
      </w:pPr>
      <w:r w:rsidRPr="009A1928">
        <w:t>c) Formación profesional: El 0,70 por ciento, del que el 0,60 por ciento será a cargo de la empresa, y el 0,10 por ciento a cargo del trabajador.</w:t>
      </w:r>
    </w:p>
    <w:p w:rsidR="009A0316" w:rsidRPr="009A1928" w:rsidRDefault="009A0316" w:rsidP="00437BB2">
      <w:pPr>
        <w:jc w:val="both"/>
      </w:pPr>
      <w:r w:rsidRPr="009A1928">
        <w:t xml:space="preserve">Artículo 33 Bases y tipos de cotización por desempleo, Fondo de Garantía Salarial y formación profesional en el Sistema Especial para Trabajadores por Cuenta Ajena Agrarios establecido en el Régimen General de la Seguridad Social </w:t>
      </w:r>
    </w:p>
    <w:p w:rsidR="009A0316" w:rsidRPr="009A1928" w:rsidRDefault="009A0316" w:rsidP="00437BB2">
      <w:pPr>
        <w:jc w:val="both"/>
      </w:pPr>
      <w:r w:rsidRPr="009A1928">
        <w:t>La cotización por la contingencia de desempleo, Fondo de Garantía Salarial y formación profesional de los trabajadores por cuenta ajena, incluidos en este sistema especial, se obtendrá aplicando a las bases de cotización establecidas en los apartados 1.a) y 1.b) del artículo 13, según la modalidad de cotización por contingencias profesionales que corresponda al trabajador, los siguientes tipos:</w:t>
      </w:r>
    </w:p>
    <w:p w:rsidR="009A0316" w:rsidRPr="009A1928" w:rsidRDefault="009A0316" w:rsidP="00437BB2">
      <w:pPr>
        <w:jc w:val="both"/>
      </w:pPr>
      <w:r w:rsidRPr="009A1928">
        <w:t>1. Desempleo:</w:t>
      </w:r>
    </w:p>
    <w:p w:rsidR="009A0316" w:rsidRPr="009A1928" w:rsidRDefault="009A0316" w:rsidP="00437BB2">
      <w:pPr>
        <w:jc w:val="both"/>
      </w:pPr>
      <w:r w:rsidRPr="009A1928">
        <w:t>a) Para los trabajadores por cuenta ajena de carácter fijo, el 7,05 por ciento, del que el 5,50 por ciento será a cargo de la empresa y el 1,55 por ciento a cargo del trabajador.</w:t>
      </w:r>
    </w:p>
    <w:p w:rsidR="009A0316" w:rsidRPr="009A1928" w:rsidRDefault="009A0316" w:rsidP="00437BB2">
      <w:pPr>
        <w:jc w:val="both"/>
      </w:pPr>
      <w:r w:rsidRPr="009A1928">
        <w:t>b) Para los trabajadores por cuenta ajena de carácter eventual, el 8,30 por ciento, del que el 6,70 por ciento será a cargo de la empresa y el 1,60 por ciento a cargo del trabajador.</w:t>
      </w:r>
    </w:p>
    <w:p w:rsidR="009A0316" w:rsidRPr="009A1928" w:rsidRDefault="009A0316" w:rsidP="00437BB2">
      <w:pPr>
        <w:jc w:val="both"/>
      </w:pPr>
      <w:r w:rsidRPr="009A1928">
        <w:t xml:space="preserve">No </w:t>
      </w:r>
      <w:r w:rsidR="00374580" w:rsidRPr="009A1928">
        <w:t>obstante,</w:t>
      </w:r>
      <w:r w:rsidRPr="009A1928">
        <w:t xml:space="preserve"> lo dispuesto en el párrafo anterior, cuando se trate de contratos de duración determinada o celebrados con trabajadores discapacitados a los que se refiere el artículo 32.2.a).1.º, el tipo aplicable será el 7,05 por ciento, del que el 5,50 por ciento será a cargo de la empresa y el 1,55 por ciento a cargo del trabajador.</w:t>
      </w:r>
    </w:p>
    <w:p w:rsidR="009A0316" w:rsidRPr="009A1928" w:rsidRDefault="009A0316" w:rsidP="00437BB2">
      <w:pPr>
        <w:jc w:val="both"/>
      </w:pPr>
      <w:r w:rsidRPr="009A1928">
        <w:t xml:space="preserve">No </w:t>
      </w:r>
      <w:r w:rsidR="000A64F6" w:rsidRPr="009A1928">
        <w:t>obstante,</w:t>
      </w:r>
      <w:r w:rsidRPr="009A1928">
        <w:t xml:space="preserve"> lo dispuesto en los párrafos anteriores de este apartado, durante el año 2019 se aplicará para todos los trabajadores en situación de incapacidad temporal, riesgo durante el embarazo y riesgo durante la lactancia </w:t>
      </w:r>
      <w:r w:rsidR="000A64F6" w:rsidRPr="009A1928">
        <w:t>natural,</w:t>
      </w:r>
      <w:r w:rsidRPr="009A1928">
        <w:t xml:space="preserve"> así como maternidad y paternidad causadas durante la situación de actividad, cualquiera que sea el grupo en el que puedan encuadrarse, una reducción en la cuota a la cotización por desempleo equivalente a 2,75 puntos porcentuales de la base de cotización.</w:t>
      </w:r>
    </w:p>
    <w:p w:rsidR="009A0316" w:rsidRPr="009A1928" w:rsidRDefault="009A0316" w:rsidP="00437BB2">
      <w:pPr>
        <w:jc w:val="both"/>
      </w:pPr>
      <w:r w:rsidRPr="009A1928">
        <w:t>2. Fondo de Garantía Salarial: el 0,10 por ciento, que será a cargo exclusivo de la empresa.</w:t>
      </w:r>
    </w:p>
    <w:p w:rsidR="009A0316" w:rsidRPr="009A1928" w:rsidRDefault="009A0316" w:rsidP="00437BB2">
      <w:pPr>
        <w:jc w:val="both"/>
      </w:pPr>
      <w:r w:rsidRPr="009A1928">
        <w:t>3. Formación profesional: el 0,18 por ciento, del que el 0,15 por ciento será a cargo de la empresa, y el 0,03 por ciento a cargo del trabajador.</w:t>
      </w:r>
    </w:p>
    <w:p w:rsidR="009A0316" w:rsidRPr="009A1928" w:rsidRDefault="009A0316" w:rsidP="00437BB2">
      <w:pPr>
        <w:jc w:val="both"/>
      </w:pPr>
      <w:r w:rsidRPr="009A1928">
        <w:t xml:space="preserve">Artículo 34 Normas aplicables para la cotización por desempleo en el Régimen Especial de la Seguridad Social de los Trabajadores del Mar </w:t>
      </w:r>
    </w:p>
    <w:p w:rsidR="009A0316" w:rsidRPr="009A1928" w:rsidRDefault="009A0316" w:rsidP="00437BB2">
      <w:pPr>
        <w:jc w:val="both"/>
      </w:pPr>
      <w:r w:rsidRPr="009A1928">
        <w:t>En el Régimen Especial de los Trabajadores del Mar la base de cotización por desempleo será la determinada conforme a lo dispuesto en el artículo 32 de esta orden.</w:t>
      </w:r>
    </w:p>
    <w:p w:rsidR="009A0316" w:rsidRPr="009A1928" w:rsidRDefault="009A0316" w:rsidP="00437BB2">
      <w:pPr>
        <w:jc w:val="both"/>
      </w:pPr>
      <w:r w:rsidRPr="009A1928">
        <w:t>A la base de cotización por desempleo de los grupos segundo y tercero le serán de aplicación los coeficientes correctores a los que se refiere el artículo 11 de la Ley 47/2015, de 21 de octubre.</w:t>
      </w:r>
    </w:p>
    <w:p w:rsidR="009A0316" w:rsidRPr="009A1928" w:rsidRDefault="009A0316" w:rsidP="00437BB2">
      <w:pPr>
        <w:jc w:val="both"/>
      </w:pPr>
      <w:r w:rsidRPr="009A1928">
        <w:t xml:space="preserve">Artículo 35 Bases y tipos de cotización por formación profesional, por cese de actividad, y durante la situación de incapacidad temporal transcurridos 60 días de los trabajadores autónomos </w:t>
      </w:r>
    </w:p>
    <w:p w:rsidR="009A0316" w:rsidRPr="009A1928" w:rsidRDefault="009A0316" w:rsidP="00437BB2">
      <w:pPr>
        <w:jc w:val="both"/>
      </w:pPr>
      <w:r w:rsidRPr="009A1928">
        <w:t>1. La base de cotización correspondiente a la protección por formación profesional y por cese de actividad de los trabajadores incluidos en el Régimen Especial de los Trabajadores por Cuenta Propia o Autónomos, así como la base de cotización por cese de actividad de los trabajadores incluidos en el Sistema Especial para Trabajadores por Cuenta Propia Agrarios establecido en el citado régimen especial, será aquella por la que hayan optado los trabajadores incluidos en tales régimen y sistema especiales.</w:t>
      </w:r>
    </w:p>
    <w:p w:rsidR="009A0316" w:rsidRPr="009A1928" w:rsidRDefault="009A0316" w:rsidP="00437BB2">
      <w:pPr>
        <w:jc w:val="both"/>
      </w:pPr>
      <w:r w:rsidRPr="009A1928">
        <w:t>En el Régimen Especial de la Seguridad Social de los Trabajadores del Mar, la base de cotización correspondiente a la protección por formación profesional y por cese de actividad de los trabajadores por cuenta propia incluidos en el grupo primero será igualmente aquella por la que hayan optado. Para los trabajadores por cuenta propia incluidos en los grupos segundo y tercero, la base de cotización vendrá determinada mediante Orden del Ministerio de Trabajo, Migraciones y Seguridad Social, siéndoles de aplicación los coeficientes correctores a los que se refiere el artículo 11 de la Ley 47/2015, de 21 de octubre.</w:t>
      </w:r>
    </w:p>
    <w:p w:rsidR="009A0316" w:rsidRPr="009A1928" w:rsidRDefault="009A0316" w:rsidP="00437BB2">
      <w:pPr>
        <w:jc w:val="both"/>
      </w:pPr>
      <w:r w:rsidRPr="009A1928">
        <w:t>2. Tanto en el Régimen Especial de los Trabajadores por Cuenta Propia o Autónomos, como en el Sistema Especial de los Trabajadores por Cuenta Propia Agrarios establecido en el Régimen Especial de los Trabajadores por Cuenta Propia o Autónomos, así como en el Régimen Especial de la Seguridad Social de los Trabajadores del Mar, la base de cotización durante la percepción de las prestaciones por cese de actividad será la correspondiente a la base reguladora de la misma en los términos establecidos en el artículo 339.1 del texto refundido de la Ley General de la Seguridad Social, sin que, en ningún caso, pueda ser inferior al importe de la base mínima o base única vigente en el correspondiente régimen y de acuerdo con las circunstancias específicas concurrentes en el beneficiario.</w:t>
      </w:r>
    </w:p>
    <w:p w:rsidR="009A0316" w:rsidRPr="009A1928" w:rsidRDefault="009A0316" w:rsidP="00437BB2">
      <w:pPr>
        <w:jc w:val="both"/>
      </w:pPr>
      <w:r w:rsidRPr="009A1928">
        <w:t>Aquellos colectivos que, conforme a la normativa reguladora de la cotización a la Seguridad Social, durante la actividad coticen por una base inferior a la base mínima ordinaria de cotización para los trabajadores por cuenta propia o autónomos, cotizarán por una base de cotización reducida durante la percepción de la prestación por cese de actividad.</w:t>
      </w:r>
    </w:p>
    <w:p w:rsidR="009A0316" w:rsidRPr="009A1928" w:rsidRDefault="009A0316" w:rsidP="00437BB2">
      <w:pPr>
        <w:jc w:val="both"/>
      </w:pPr>
      <w:r w:rsidRPr="009A1928">
        <w:t>3. De conformidad con lo dispuesto en los artículos 308.1 y 329.c) del texto refundido de la Ley General de la Seguridad Social, se fija en el 0,31 el coeficiente a aplicar al total de cuotas por cese de actividad que correspondan al Servicio Público de Empleo Estatal, al objeto de sufragar las cuotas por todas las contingencias durante la situación de incapacidad temporal con derecho a prestación económica transcurridos 60 días en dicha situación desde la baja médica que deba asumir dicha entidad.</w:t>
      </w:r>
    </w:p>
    <w:p w:rsidR="009A0316" w:rsidRPr="009A1928" w:rsidRDefault="009A0316" w:rsidP="00437BB2">
      <w:pPr>
        <w:jc w:val="both"/>
      </w:pPr>
      <w:r w:rsidRPr="009A1928">
        <w:t>4. Durante el año 2019, los tipos de cotización para la protección por cese de actividad serán:</w:t>
      </w:r>
    </w:p>
    <w:p w:rsidR="009A0316" w:rsidRPr="009A1928" w:rsidRDefault="009A0316" w:rsidP="00437BB2">
      <w:pPr>
        <w:jc w:val="both"/>
      </w:pPr>
      <w:r w:rsidRPr="009A1928">
        <w:t>a) Del 0,70 por ciento, en el Régimen Especial de la Seguridad Social de los Trabajadores por Cuenta Propia o Autónomos y en el Régimen Especial de la Seguridad Social de los Trabajadores del Mar.</w:t>
      </w:r>
    </w:p>
    <w:p w:rsidR="009A0316" w:rsidRPr="009A1928" w:rsidRDefault="009A0316" w:rsidP="00437BB2">
      <w:pPr>
        <w:jc w:val="both"/>
      </w:pPr>
      <w:r w:rsidRPr="009A1928">
        <w:t>b) Del 2,20 por ciento, en el Sistema Especial para Trabajadores por Cuenta Propia Agrarios establecido en el Régimen Especial de la Seguridad Social de los Trabajadores por Cuenta Propia o Autónomos.</w:t>
      </w:r>
    </w:p>
    <w:p w:rsidR="009A0316" w:rsidRPr="009A1928" w:rsidRDefault="009A0316" w:rsidP="00437BB2">
      <w:pPr>
        <w:jc w:val="both"/>
      </w:pPr>
      <w:r w:rsidRPr="009A1928">
        <w:t>5. Durante el año 2019, el tipo de cotización por formación profesional en el Régimen Especial de la Seguridad Social de los Trabajadores por Cuenta Propia o Autónomos y en el Régimen Especial de la Seguridad Social de los Trabajadores del Mar será del 0,1 por ciento.</w:t>
      </w:r>
    </w:p>
    <w:p w:rsidR="009A0316" w:rsidRPr="009A1928" w:rsidRDefault="009A0316" w:rsidP="00437BB2">
      <w:pPr>
        <w:jc w:val="both"/>
      </w:pPr>
      <w:r w:rsidRPr="009A1928">
        <w:t>CAPÍTULO III</w:t>
      </w:r>
      <w:r w:rsidRPr="009A1928">
        <w:br/>
      </w:r>
      <w:r w:rsidRPr="009A1928">
        <w:br/>
        <w:t>Cotización en los supuestos de contratos a tiempo parcial</w:t>
      </w:r>
    </w:p>
    <w:p w:rsidR="009A0316" w:rsidRPr="009A1928" w:rsidRDefault="009A0316" w:rsidP="00437BB2">
      <w:pPr>
        <w:jc w:val="both"/>
      </w:pPr>
      <w:r w:rsidRPr="009A1928">
        <w:t xml:space="preserve">Artículo 36 Bases de cotización </w:t>
      </w:r>
    </w:p>
    <w:p w:rsidR="009A0316" w:rsidRPr="009A1928" w:rsidRDefault="009A0316" w:rsidP="00437BB2">
      <w:pPr>
        <w:jc w:val="both"/>
      </w:pPr>
      <w:r w:rsidRPr="009A1928">
        <w:t>1. La cotización a la Seguridad Social, desempleo, Fondo de Garantía Salarial y formación profesional derivada de los contratos de trabajo a tiempo parcial se efectuará en razón de la remuneración efectivamente percibida en función de las horas trabajadas en el mes que se considere.</w:t>
      </w:r>
    </w:p>
    <w:p w:rsidR="009A0316" w:rsidRPr="009A1928" w:rsidRDefault="009A0316" w:rsidP="00437BB2">
      <w:pPr>
        <w:jc w:val="both"/>
      </w:pPr>
      <w:r w:rsidRPr="009A1928">
        <w:t>2. Para determinar la base de cotización mensual correspondiente a las contingencias comunes se aplicarán las siguientes normas:</w:t>
      </w:r>
    </w:p>
    <w:p w:rsidR="009A0316" w:rsidRPr="009A1928" w:rsidRDefault="009A0316" w:rsidP="00437BB2">
      <w:pPr>
        <w:jc w:val="both"/>
      </w:pPr>
      <w:r w:rsidRPr="009A1928">
        <w:t>Primera. Se computará la remuneración devengada por las horas ordinarias y complementarias en el mes a que se refiere la cotización, cualquiera que sea su forma o denominación, con independencia de que haya sido satisfecha diaria, semanal o mensualmente.</w:t>
      </w:r>
    </w:p>
    <w:p w:rsidR="009A0316" w:rsidRPr="009A1928" w:rsidRDefault="009A0316" w:rsidP="00437BB2">
      <w:pPr>
        <w:jc w:val="both"/>
      </w:pPr>
      <w:r w:rsidRPr="009A1928">
        <w:t>Segunda. A dicha remuneración se adicionará la parte proporcional que corresponda en concepto de descanso semanal y festivos, pagas extraordinarias y aquellos otros conceptos retributivos que tengan una periodicidad en su devengo superior a la mensual o que no tengan carácter periódico y se satisfagan dentro del año 2019.</w:t>
      </w:r>
    </w:p>
    <w:p w:rsidR="009A0316" w:rsidRPr="009A1928" w:rsidRDefault="009A0316" w:rsidP="00437BB2">
      <w:pPr>
        <w:jc w:val="both"/>
      </w:pPr>
      <w:r w:rsidRPr="009A1928">
        <w:t>Tercera. Si la base de cotización mensual, calculada conforme a las normas anteriores, fuese inferior a las bases mínimas que resulten de lo dispuesto en el artículo 37 o superior a las máximas establecidas con carácter general para los distintos grupos de categorías profesionales, se tomarán estas o aquellas, respectivamente, como bases de cotización.</w:t>
      </w:r>
    </w:p>
    <w:p w:rsidR="009A0316" w:rsidRPr="009A1928" w:rsidRDefault="009A0316" w:rsidP="00437BB2">
      <w:pPr>
        <w:jc w:val="both"/>
      </w:pPr>
      <w:r w:rsidRPr="009A1928">
        <w:t>3. Para determinar la base de cotización por las contingencias de accidentes de trabajo y enfermedades profesionales, así como por desempleo, Fondo de Garantía Salarial y formación profesional, se computará, asimismo, la remuneración correspondiente a las horas extraordinarias motivadas por fuerza mayor realizadas, teniéndose en cuenta las normas primera y segunda del apartado anterior. En ningún caso, la base así obtenida podrá ser superior, a partir de 1 de enero de 2019, al tope máximo señalado en el artículo 2.1 ni inferior a 6,33 euros por cada hora trabajada.</w:t>
      </w:r>
    </w:p>
    <w:p w:rsidR="009A0316" w:rsidRPr="009A1928" w:rsidRDefault="009A0316" w:rsidP="00437BB2">
      <w:pPr>
        <w:jc w:val="both"/>
      </w:pPr>
      <w:r w:rsidRPr="009A1928">
        <w:t>Con independencia de su inclusión en la base de cotización por desempleo, en el cálculo de la base reguladora de la prestación se excluirá la retribución por estas horas extraordinarias.</w:t>
      </w:r>
    </w:p>
    <w:p w:rsidR="009A0316" w:rsidRPr="009A1928" w:rsidRDefault="009A0316" w:rsidP="00437BB2">
      <w:pPr>
        <w:jc w:val="both"/>
      </w:pPr>
      <w:r w:rsidRPr="009A1928">
        <w:t>4. La remuneración que obtengan los trabajadores a tiempo parcial por el concepto de horas extraordinarias motivadas por fuerza mayor a las que se refiere el artículo 35.3 del texto refundido de la Ley del Estatuto de los Trabajadores, queda sujeta a la cotización adicional regulada en el artículo 5 de esta orden.</w:t>
      </w:r>
    </w:p>
    <w:p w:rsidR="009A0316" w:rsidRPr="009A1928" w:rsidRDefault="009A0316" w:rsidP="00437BB2">
      <w:pPr>
        <w:jc w:val="both"/>
      </w:pPr>
      <w:r w:rsidRPr="009A1928">
        <w:t xml:space="preserve">Artículo 37 Bases mínimas de cotización por contingencias comunes </w:t>
      </w:r>
    </w:p>
    <w:p w:rsidR="009A0316" w:rsidRPr="009A1928" w:rsidRDefault="009A0316" w:rsidP="00437BB2">
      <w:pPr>
        <w:jc w:val="both"/>
      </w:pPr>
      <w:r w:rsidRPr="009A1928">
        <w:t>1. A partir de 1 de enero de 2019, las bases mínimas por horas aplicables a los contratos de trabajo a tiempo parcial, serán las siguientes:</w:t>
      </w:r>
    </w:p>
    <w:tbl>
      <w:tblPr>
        <w:tblW w:w="5000" w:type="pct"/>
        <w:tblCellMar>
          <w:top w:w="15" w:type="dxa"/>
          <w:left w:w="15" w:type="dxa"/>
          <w:bottom w:w="15" w:type="dxa"/>
          <w:right w:w="15" w:type="dxa"/>
        </w:tblCellMar>
        <w:tblLook w:val="04A0" w:firstRow="1" w:lastRow="0" w:firstColumn="1" w:lastColumn="0" w:noHBand="0" w:noVBand="1"/>
      </w:tblPr>
      <w:tblGrid>
        <w:gridCol w:w="1340"/>
        <w:gridCol w:w="5852"/>
        <w:gridCol w:w="1312"/>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Categorías profesionales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 mínima por hora</w:t>
            </w:r>
          </w:p>
          <w:p w:rsidR="009A0316" w:rsidRPr="009A1928" w:rsidRDefault="009A0316" w:rsidP="00437BB2">
            <w:pPr>
              <w:jc w:val="both"/>
            </w:pPr>
            <w:r w:rsidRPr="009A1928">
              <w:t>–</w:t>
            </w:r>
          </w:p>
          <w:p w:rsidR="009A0316" w:rsidRPr="009A1928" w:rsidRDefault="009A0316" w:rsidP="00437BB2">
            <w:pPr>
              <w:jc w:val="both"/>
            </w:pPr>
            <w:r w:rsidRPr="009A1928">
              <w:t>Euros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y Licenciados. Personal de alta dirección no incluido en el artículo 1.3.c) del Estatuto de los Trabajadores.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8,83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Ingenieros Técnicos, Peritos y Ayudantes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7,32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Jefes Administrativos y de Taller.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6,37</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Ayudantes no Titulados.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Subalternos.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Auxiliares Administrativos.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primera y segunda.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Oficiales de tercera y Especialistas.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Trabajadores mayores de dieciocho años no cualificados.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Trabajadores menores de dieciocho años, cualquiera que sea su categoría profesional.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6,33</w:t>
            </w:r>
          </w:p>
        </w:tc>
      </w:tr>
    </w:tbl>
    <w:p w:rsidR="009A0316" w:rsidRPr="009A1928" w:rsidRDefault="009A0316" w:rsidP="00437BB2">
      <w:pPr>
        <w:jc w:val="both"/>
      </w:pPr>
      <w:r w:rsidRPr="009A1928">
        <w:t>2. La base mínima mensual de cotización será el resultado de multiplicar el número de horas realmente trabajadas por la base mínima horaria que se establece en el apartado anterior.</w:t>
      </w:r>
    </w:p>
    <w:p w:rsidR="009A0316" w:rsidRPr="009A1928" w:rsidRDefault="009A0316" w:rsidP="00437BB2">
      <w:pPr>
        <w:jc w:val="both"/>
      </w:pPr>
      <w:r w:rsidRPr="009A1928">
        <w:t xml:space="preserve">Artículo 38 Cotización en los supuestos de incapacidad temporal, riesgo durante el embarazo, riesgo durante la lactancia natural y maternidad o paternidad </w:t>
      </w:r>
    </w:p>
    <w:p w:rsidR="009A0316" w:rsidRPr="009A1928" w:rsidRDefault="009A0316" w:rsidP="00437BB2">
      <w:pPr>
        <w:jc w:val="both"/>
      </w:pPr>
      <w:r w:rsidRPr="009A1928">
        <w:t>Durante las situaciones de incapacidad temporal, maternidad, paternidad, riesgo durante el embarazo y riesgo durante la lactancia natural, la base diaria de cotización será la base reguladora diaria de la correspondiente prestación. En las situaciones de incapacidad temporal y de maternidad en las que no se haya causado derecho al respectivo subsidio, la base diaria de cotización se calculará, asimismo, en función de la base reguladora diaria de la prestación que hubiera correspondido, de haberse causado derecho a la misma.</w:t>
      </w:r>
    </w:p>
    <w:p w:rsidR="009A0316" w:rsidRPr="009A1928" w:rsidRDefault="009A0316" w:rsidP="00437BB2">
      <w:pPr>
        <w:jc w:val="both"/>
      </w:pPr>
      <w:r w:rsidRPr="009A1928">
        <w:t>Esta base de cotización se aplicará durante todos los días naturales en que el trabajador permanezca en alguna de las situaciones antes indicadas.</w:t>
      </w:r>
    </w:p>
    <w:p w:rsidR="009A0316" w:rsidRPr="009A1928" w:rsidRDefault="009A0316" w:rsidP="00437BB2">
      <w:pPr>
        <w:jc w:val="both"/>
      </w:pPr>
      <w:r w:rsidRPr="009A1928">
        <w:t xml:space="preserve">Artículo 39 Cotización en la situación de pluriempleo </w:t>
      </w:r>
    </w:p>
    <w:p w:rsidR="009A0316" w:rsidRPr="009A1928" w:rsidRDefault="009A0316" w:rsidP="00437BB2">
      <w:pPr>
        <w:jc w:val="both"/>
      </w:pPr>
      <w:r w:rsidRPr="009A1928">
        <w:t>Cuando el trabajador preste sus servicios en dos o más empresas en régimen de contratación a tiempo parcial, cada una de ellas cotizará en razón de la remuneración que le abone. Si la suma de las retribuciones percibidas sobrepasase el tope máximo de cotización a la Seguridad Social, este se distribuirá en proporción a las abonadas al trabajador en cada una de las empresas.</w:t>
      </w:r>
    </w:p>
    <w:p w:rsidR="009A0316" w:rsidRPr="009A1928" w:rsidRDefault="009A0316" w:rsidP="00437BB2">
      <w:pPr>
        <w:jc w:val="both"/>
      </w:pPr>
      <w:r w:rsidRPr="009A1928">
        <w:t xml:space="preserve">Artículo 40 Cotización en los supuestos de trabajo concentrado en períodos inferiores a los de alta </w:t>
      </w:r>
    </w:p>
    <w:p w:rsidR="009A0316" w:rsidRPr="009A1928" w:rsidRDefault="009A0316" w:rsidP="00437BB2">
      <w:pPr>
        <w:jc w:val="both"/>
      </w:pPr>
      <w:r w:rsidRPr="009A1928">
        <w:t>1. De acuerdo con lo dispuesto en el artículo 65.3 del Reglamento general sobre cotización y liquidación de otros derechos de la Seguridad Social, en aquellos supuestos en que los trabajadores hayan acordado con su empresa que la totalidad de las horas de trabajo que anualmente deben realizar se presten en determinados períodos de cada año, percibiendo todas las remuneraciones anuales o las correspondientes al período inferior de que se trate, en esos períodos de trabajo concentrado, existiendo períodos de inactividad superiores al mensual, la cotización a la Seguridad Social se efectuará de acuerdo con las siguientes reglas:</w:t>
      </w:r>
    </w:p>
    <w:p w:rsidR="009A0316" w:rsidRPr="009A1928" w:rsidRDefault="009A0316" w:rsidP="00437BB2">
      <w:pPr>
        <w:jc w:val="both"/>
      </w:pPr>
      <w:r w:rsidRPr="009A1928">
        <w:t>Primera. La base de cotización se determinará al celebrarse el contrato de trabajo y al inicio de cada año en que el trabajador se encuentre en dicha situación, computando el importe total de las remuneraciones que tenga derecho a percibir el trabajador a tiempo parcial en ese año, con exclusión en todo caso de los importes correspondientes a los conceptos no computables en la base de cotización a la Seguridad Social, de acuerdo con lo establecido en el artículo 23 del Reglamento general citado y demás disposiciones complementarias.</w:t>
      </w:r>
    </w:p>
    <w:p w:rsidR="009A0316" w:rsidRPr="009A1928" w:rsidRDefault="009A0316" w:rsidP="00437BB2">
      <w:pPr>
        <w:jc w:val="both"/>
      </w:pPr>
      <w:r w:rsidRPr="009A1928">
        <w:t>Segunda. El importe obtenido se prorrateará entre los doce meses del año o del período inferior de que se trate, determinándose de este modo la cuantía de la base de cotización correspondiente a cada uno de ellos y con independencia de que las remuneraciones se perciban íntegramente en los períodos de trabajo concentrado o de forma prorrateada a lo largo del año o período inferior respectivo.</w:t>
      </w:r>
    </w:p>
    <w:p w:rsidR="009A0316" w:rsidRPr="009A1928" w:rsidRDefault="009A0316" w:rsidP="00437BB2">
      <w:pPr>
        <w:jc w:val="both"/>
      </w:pPr>
      <w:r w:rsidRPr="009A1928">
        <w:t>Tercera. La base mensual de cotización, calculada conforme a las reglas anteriores, no podrá ser inferior al importe de las bases mínimas que resulten de lo dispuesto en el artículo 37.</w:t>
      </w:r>
    </w:p>
    <w:p w:rsidR="009A0316" w:rsidRPr="009A1928" w:rsidRDefault="009A0316" w:rsidP="00437BB2">
      <w:pPr>
        <w:jc w:val="both"/>
      </w:pPr>
      <w:r w:rsidRPr="009A1928">
        <w:t>Cuarta. Si al final del ejercicio o período inferior de que se trate, el trabajador con contrato a tiempo parcial, subsistiendo su relación laboral, hubiese percibido remuneraciones por importe distinto al inicialmente considerado en ese año o período para determinar la base mensual de cotización durante el mismo, conforme a las reglas anteriores, se procederá a realizar la correspondiente regularización. A tal efecto, el empresario deberá o bien practicar la correspondiente liquidación complementaria de cuotas por las diferencias en más y efectuar el pago dentro del mes de enero del año siguiente o del mes siguiente a aquel en que se extinga la relación laboral, o bien solicitar, en su caso, la devolución de las cuotas que resulten indebidamente ingresadas.</w:t>
      </w:r>
    </w:p>
    <w:p w:rsidR="009A0316" w:rsidRPr="009A1928" w:rsidRDefault="009A0316" w:rsidP="00437BB2">
      <w:pPr>
        <w:jc w:val="both"/>
      </w:pPr>
      <w:r w:rsidRPr="009A1928">
        <w:t>Quinta. Asimismo, la Administración de la Seguridad Social podrá efectuar de oficio las liquidaciones de cuotas y acordar las devoluciones solicitadas que sean procedentes, en especial, en los supuestos de extinción de la relación laboral de estos trabajadores con contrato a tiempo parcial por jubilación ordinaria o anticipada, por reconocimiento de la pensión por incapacidad permanente, por fallecimiento o por cualquier otra causa, con la consiguiente baja en el régimen correspondiente de la Seguridad Social y cese en la obligación de cotizar.</w:t>
      </w:r>
    </w:p>
    <w:p w:rsidR="009A0316" w:rsidRPr="009A1928" w:rsidRDefault="009A0316" w:rsidP="00437BB2">
      <w:pPr>
        <w:jc w:val="both"/>
      </w:pPr>
      <w:r w:rsidRPr="009A1928">
        <w:t>2. Lo previsto en el apartado anterior no será de aplicación a los trabajadores fijos-discontinuos a que se refiere el artículo 16 del texto refundido de la Ley del Estatuto de los Trabajadores, de acuerdo con lo dispuesto en la disposición adicional tercera.3 del Real Decreto 1131/2002, de 31 de octubre, por el que se regula la Seguridad Social de los trabajadores contratados a tiempo parcial, así como la jubilación parcial.</w:t>
      </w:r>
    </w:p>
    <w:p w:rsidR="009A0316" w:rsidRPr="009A1928" w:rsidRDefault="009A0316" w:rsidP="00437BB2">
      <w:pPr>
        <w:jc w:val="both"/>
      </w:pPr>
      <w:r w:rsidRPr="009A1928">
        <w:t xml:space="preserve">Artículo 41 Base mínima de cotización respecto de los socios de cooperativas de trabajo asociado, en los supuestos de contrato a tiempo parcial </w:t>
      </w:r>
    </w:p>
    <w:p w:rsidR="009A0316" w:rsidRPr="009A1928" w:rsidRDefault="009A0316" w:rsidP="00437BB2">
      <w:pPr>
        <w:jc w:val="both"/>
      </w:pPr>
      <w:r w:rsidRPr="009A1928">
        <w:t>La base de cotización por contingencias comunes y profesionales de los socios trabajadores de cooperativas de trabajo asociado que hubieran optado en sus estatutos por asimilar a los socios trabajadores a trabajadores por cuenta ajena, incluidos en razón de la actividad de la cooperativa en el Régimen General, en el Régimen Especial de los Trabajadores del Mar o en el Régimen Especial para la Minería del Carbón, en los supuestos de prestación de servicios a tiempo parcial, no podrá ser inferior a las cuantías que para los diferentes grupos de cotización se indican a continuación:</w:t>
      </w:r>
    </w:p>
    <w:tbl>
      <w:tblPr>
        <w:tblW w:w="5000" w:type="pct"/>
        <w:tblCellMar>
          <w:top w:w="15" w:type="dxa"/>
          <w:left w:w="15" w:type="dxa"/>
          <w:bottom w:w="15" w:type="dxa"/>
          <w:right w:w="15" w:type="dxa"/>
        </w:tblCellMar>
        <w:tblLook w:val="04A0" w:firstRow="1" w:lastRow="0" w:firstColumn="1" w:lastColumn="0" w:noHBand="0" w:noVBand="1"/>
      </w:tblPr>
      <w:tblGrid>
        <w:gridCol w:w="4066"/>
        <w:gridCol w:w="4438"/>
      </w:tblGrid>
      <w:tr w:rsidR="009A0316" w:rsidRPr="009A1928" w:rsidTr="009A0316">
        <w:trPr>
          <w:tblHeader/>
        </w:trPr>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Grupo de cotización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Base mínima mensual</w:t>
            </w:r>
          </w:p>
          <w:p w:rsidR="009A0316" w:rsidRPr="009A1928" w:rsidRDefault="009A0316" w:rsidP="00437BB2">
            <w:pPr>
              <w:jc w:val="both"/>
            </w:pPr>
            <w:r w:rsidRPr="009A1928">
              <w:t>–</w:t>
            </w:r>
          </w:p>
          <w:p w:rsidR="009A0316" w:rsidRPr="009A1928" w:rsidRDefault="009A0316" w:rsidP="00437BB2">
            <w:pPr>
              <w:jc w:val="both"/>
            </w:pPr>
            <w:r w:rsidRPr="009A1928">
              <w:t>Euros</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659,9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486,4</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423,1</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 a 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420,0</w:t>
            </w:r>
          </w:p>
        </w:tc>
      </w:tr>
    </w:tbl>
    <w:p w:rsidR="009A0316" w:rsidRPr="009A1928" w:rsidRDefault="009A0316" w:rsidP="00437BB2">
      <w:pPr>
        <w:jc w:val="both"/>
      </w:pPr>
      <w:r w:rsidRPr="009A1928">
        <w:t xml:space="preserve">Artículo 42 Cotización en el Sistema Especial para Trabajadores por Cuenta Ajena Agrarios establecido en el Régimen General de la Seguridad Social </w:t>
      </w:r>
    </w:p>
    <w:p w:rsidR="009A0316" w:rsidRPr="009A1928" w:rsidRDefault="009A0316" w:rsidP="00437BB2">
      <w:pPr>
        <w:jc w:val="both"/>
      </w:pPr>
      <w:r w:rsidRPr="009A1928">
        <w:t>Con independencia del número de horas de trabajo realizadas en cada jornada, la base de cotización de los trabajadores del sistema especial no podrá tener una cuantía inferior a 45,65 euros/día.</w:t>
      </w:r>
    </w:p>
    <w:p w:rsidR="009A0316" w:rsidRPr="009A1928" w:rsidRDefault="009A0316" w:rsidP="00437BB2">
      <w:pPr>
        <w:jc w:val="both"/>
      </w:pPr>
      <w:r w:rsidRPr="009A1928">
        <w:t xml:space="preserve">Artículo 43 Cotización en los supuestos de guarda legal o cuidado directo de un familiar </w:t>
      </w:r>
    </w:p>
    <w:p w:rsidR="009A0316" w:rsidRPr="009A1928" w:rsidRDefault="009A0316" w:rsidP="00437BB2">
      <w:pPr>
        <w:jc w:val="both"/>
      </w:pPr>
      <w:r w:rsidRPr="009A1928">
        <w:t>En el caso de trabajadores y empleados públicos que, en virtud de lo dispuesto en el artículo 37 del texto refundido de la Ley del Estatuto de los Trabajadores, en el artículo 30 de la Ley 30/1984, de 2 de agosto, de Medidas para la Reforma de la Función Pública, y en los artículos 48 y 49 del texto refundido de la Ley del Estatuto Básico del Empleado Público, aprobado por el Real Decreto Legislativo 5/2015, de 30 de octubre, realicen una jornada reducida con disminución proporcional de sus retribuciones, la cotización se efectuará en función de las retribuciones que perciban sin que, en ningún caso, la base de cotización pueda ser inferior a la cantidad resultante de multiplicar las horas realmente trabajadas en el mes a que se refiere la cotización por las bases mínimas horarias señaladas en el artículo 37.1 de esta orden.</w:t>
      </w:r>
    </w:p>
    <w:p w:rsidR="009A0316" w:rsidRPr="009A1928" w:rsidRDefault="009A0316" w:rsidP="00437BB2">
      <w:pPr>
        <w:jc w:val="both"/>
      </w:pPr>
      <w:r w:rsidRPr="009A1928">
        <w:t>CAPÍTULO IV</w:t>
      </w:r>
      <w:r w:rsidRPr="009A1928">
        <w:br/>
      </w:r>
      <w:r w:rsidRPr="009A1928">
        <w:br/>
        <w:t>Cotización en los contratos para la formación y el aprendizaje</w:t>
      </w:r>
    </w:p>
    <w:p w:rsidR="009A0316" w:rsidRPr="009A1928" w:rsidRDefault="009A0316" w:rsidP="00437BB2">
      <w:pPr>
        <w:jc w:val="both"/>
      </w:pPr>
      <w:r w:rsidRPr="009A1928">
        <w:t xml:space="preserve">Artículo 44 Determinación de las cuotas </w:t>
      </w:r>
    </w:p>
    <w:p w:rsidR="009A0316" w:rsidRPr="009A1928" w:rsidRDefault="009A0316" w:rsidP="00437BB2">
      <w:pPr>
        <w:jc w:val="both"/>
      </w:pPr>
      <w:r w:rsidRPr="009A1928">
        <w:t>1. Durante el año 2019, la cotización a la Seguridad Social y demás contingencias protegidas por los trabajadores que hubieran celebrado un contrato para la formación y el aprendizaje se efectuará de acuerdo con lo siguiente:</w:t>
      </w:r>
    </w:p>
    <w:p w:rsidR="009A0316" w:rsidRPr="009A1928" w:rsidRDefault="009A0316" w:rsidP="00437BB2">
      <w:pPr>
        <w:jc w:val="both"/>
      </w:pPr>
      <w:r w:rsidRPr="009A1928">
        <w:t>a) La cotización a la Seguridad Social consistirá en una cuota única mensual de 51,05 euros por contingencias comunes, de los que 42,56 euros serán a cargo del empresario y 8,49 euros a cargo del trabajador, y de 5,85 euros por contingencias profesionales, a cargo del empresario.</w:t>
      </w:r>
    </w:p>
    <w:p w:rsidR="009A0316" w:rsidRPr="009A1928" w:rsidRDefault="009A0316" w:rsidP="00437BB2">
      <w:pPr>
        <w:jc w:val="both"/>
      </w:pPr>
      <w:r w:rsidRPr="009A1928">
        <w:t>b) La cotización al Fondo de Garantía Salarial consistirá en una cuota mensual de 3,23 euros, a cargo del empresario.</w:t>
      </w:r>
    </w:p>
    <w:p w:rsidR="009A0316" w:rsidRPr="009A1928" w:rsidRDefault="009A0316" w:rsidP="00437BB2">
      <w:pPr>
        <w:jc w:val="both"/>
      </w:pPr>
      <w:r w:rsidRPr="009A1928">
        <w:t>c) Cuando proceda cotizar por desempleo, la base de cotización será la base mínima correspondiente a las contingencias por accidentes de trabajo y enfermedades profesionales a la que será de aplicación el tipo y la distribución del mismo a que se refiere el artículo 32.2.a).1.º</w:t>
      </w:r>
    </w:p>
    <w:p w:rsidR="009A0316" w:rsidRPr="009A1928" w:rsidRDefault="009A0316" w:rsidP="00437BB2">
      <w:pPr>
        <w:jc w:val="both"/>
      </w:pPr>
      <w:r w:rsidRPr="009A1928">
        <w:t>d) Durante la percepción de la prestación por desempleo, la cotización a la Seguridad Social se efectuará conforme a lo previsto en el artículo 8.6.</w:t>
      </w:r>
    </w:p>
    <w:p w:rsidR="009A0316" w:rsidRPr="009A1928" w:rsidRDefault="009A0316" w:rsidP="00437BB2">
      <w:pPr>
        <w:jc w:val="both"/>
      </w:pPr>
      <w:r w:rsidRPr="009A1928">
        <w:t>e) Las retribuciones que perciban los trabajadores en concepto de horas extraordinarias estarán sujetas a la cotización adicional regulada en el artículo 5.</w:t>
      </w:r>
    </w:p>
    <w:p w:rsidR="009A0316" w:rsidRPr="009A1928" w:rsidRDefault="009A0316" w:rsidP="00437BB2">
      <w:pPr>
        <w:jc w:val="both"/>
      </w:pPr>
      <w:r w:rsidRPr="009A1928">
        <w:t>2. Lo previsto en el párrafo a) del apartado 1 será asimismo de aplicación para la cotización del personal investigador en formación de beca incluido en el Real Decreto 63/2006, de 27 de enero, por el que se aprueba el Estatuto del personal investigador en formación.</w:t>
      </w:r>
    </w:p>
    <w:p w:rsidR="009A0316" w:rsidRPr="009A1928" w:rsidRDefault="009A0316" w:rsidP="00437BB2">
      <w:pPr>
        <w:jc w:val="both"/>
      </w:pPr>
      <w:r w:rsidRPr="009A1928">
        <w:t>Este sistema de cotización no afectará a la determinación de las cuantías de las prestaciones económicas a que se tenga derecho, respecto de la cual se seguirá aplicando el importe de la base mínima correspondiente al grupo 1 de la escala de grupos de cotización del Régimen General de la Seguridad Social.</w:t>
      </w:r>
    </w:p>
    <w:p w:rsidR="009A0316" w:rsidRPr="009A1928" w:rsidRDefault="009A0316" w:rsidP="00437BB2">
      <w:pPr>
        <w:jc w:val="both"/>
      </w:pPr>
      <w:r w:rsidRPr="009A1928">
        <w:t>3. Igualmente será de aplicación lo dispuesto en el párrafo a) del apartado 1 para la cotización de las personas asimiladas a trabajadores por cuenta ajena a que se refiere 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y para efectuar la cotización de las personas que realicen prácticas no laborales al amparo de lo dispuesto en el Real Decreto 1543/2011, de 31 de octubre, por el que se regulan las prácticas no laborales en empresas.</w:t>
      </w:r>
    </w:p>
    <w:p w:rsidR="009A0316" w:rsidRPr="009A1928" w:rsidRDefault="009A0316" w:rsidP="00437BB2">
      <w:pPr>
        <w:jc w:val="both"/>
      </w:pPr>
      <w:r w:rsidRPr="009A1928">
        <w:t>DISPOSICIONES ADICIONALES</w:t>
      </w:r>
    </w:p>
    <w:p w:rsidR="009A0316" w:rsidRPr="009A1928" w:rsidRDefault="009A0316" w:rsidP="00437BB2">
      <w:pPr>
        <w:jc w:val="both"/>
      </w:pPr>
      <w:r w:rsidRPr="009A1928">
        <w:t xml:space="preserve">Disposición adicional primera Cotización por contingencias profesionales en los supuestos de suspensión de la relación laboral </w:t>
      </w:r>
    </w:p>
    <w:p w:rsidR="009A0316" w:rsidRPr="009A1928" w:rsidRDefault="009A0316" w:rsidP="00437BB2">
      <w:pPr>
        <w:jc w:val="both"/>
      </w:pPr>
      <w:r w:rsidRPr="009A1928">
        <w:t>La cotización por accidentes de trabajo y enfermedades profesionales por aquellos trabajadores que tengan suspendida la relación laboral por causas económicas, técnicas, organizativas o de producción o derivadas de fuerza mayor, a que se refiere el artículo 47 del texto refundido de la Ley del Estatuto de los Trabajadores, que se encuentren en situación de desempleo total, se efectuará aplicando los tipos establecidos para la respectiva actividad económica, de conformidad con la tarifa de primas establecida en la disposición adicional cuarta de la Ley 42/2006, de 28 de diciembre.</w:t>
      </w:r>
    </w:p>
    <w:p w:rsidR="009A0316" w:rsidRPr="009A1928" w:rsidRDefault="009A0316" w:rsidP="00437BB2">
      <w:pPr>
        <w:jc w:val="both"/>
      </w:pPr>
      <w:r w:rsidRPr="009A1928">
        <w:t xml:space="preserve">Disposición adicional segunda Cotización por contingencias profesionales de los trabajadores desempleados que realicen trabajos de colaboración social </w:t>
      </w:r>
    </w:p>
    <w:p w:rsidR="009A0316" w:rsidRPr="009A1928" w:rsidRDefault="009A0316" w:rsidP="00437BB2">
      <w:pPr>
        <w:jc w:val="both"/>
      </w:pPr>
      <w:r w:rsidRPr="009A1928">
        <w:t>1. De acuerdo con lo establecido en la disposición adicional quinta del Reglamento general sobre cotización y liquidación de otros derechos de la Seguridad Social, las administraciones públicas que, conforme a lo establecido en el artículo 38 del Real Decreto 1445/1982, de 25 de junio, por el que se regulan diversas medidas de fomento del empleo, utilicen trabajadores desempleados para la realización de trabajos de colaboración social, vendrán obligadas a formalizar la cobertura de las contingencias de accidentes de trabajo y enfermedades profesionales por dichos trabajadores y a ingresar las cuotas correspondientes a las citadas contingencias.</w:t>
      </w:r>
    </w:p>
    <w:p w:rsidR="009A0316" w:rsidRPr="009A1928" w:rsidRDefault="009A0316" w:rsidP="00437BB2">
      <w:pPr>
        <w:jc w:val="both"/>
      </w:pPr>
      <w:r w:rsidRPr="009A1928">
        <w:t>2. La base de cotización por las contingencias señaladas en el apartado anterior se calculará conforme al promedio de las bases de cotización por dichas contingencias, en los últimos seis meses de ocupación efectiva, sin perjuicio de la aplicación, en su caso, de lo previsto en los apartados 3 y 4 del artículo 8.</w:t>
      </w:r>
    </w:p>
    <w:p w:rsidR="009A0316" w:rsidRPr="009A1928" w:rsidRDefault="009A0316" w:rsidP="00437BB2">
      <w:pPr>
        <w:jc w:val="both"/>
      </w:pPr>
      <w:r w:rsidRPr="009A1928">
        <w:t>En los supuestos de trabajadores perceptores del subsidio de desempleo, la base de cotización será equivalente al tope mínimo de cotización a que se refiere el artículo 2.</w:t>
      </w:r>
    </w:p>
    <w:p w:rsidR="009A0316" w:rsidRPr="009A1928" w:rsidRDefault="009A0316" w:rsidP="00437BB2">
      <w:pPr>
        <w:jc w:val="both"/>
      </w:pPr>
      <w:r w:rsidRPr="009A1928">
        <w:t xml:space="preserve">Disposición adicional tercera Cotización durante la percepción de las prestaciones por desempleo por parte de las víctimas de violencia de género </w:t>
      </w:r>
    </w:p>
    <w:p w:rsidR="009A0316" w:rsidRPr="009A1928" w:rsidRDefault="009A0316" w:rsidP="00437BB2">
      <w:pPr>
        <w:jc w:val="both"/>
      </w:pPr>
      <w:r w:rsidRPr="009A1928">
        <w:t>Durante el período de percepción de las prestaciones por desempleo por parte de las víctimas de violencia de género que tengan suspendida la relación laboral, la entidad gestora de las prestaciones ingresará la cotización a la Seguridad Social conforme a lo establecido para los supuestos de extinción de la relación laboral.</w:t>
      </w:r>
    </w:p>
    <w:p w:rsidR="009A0316" w:rsidRPr="009A1928" w:rsidRDefault="009A0316" w:rsidP="00437BB2">
      <w:pPr>
        <w:jc w:val="both"/>
      </w:pPr>
      <w:r w:rsidRPr="009A1928">
        <w:t xml:space="preserve">Disposición adicional cuarta Cotización de los empleados públicos encuadrados en el Régimen General de la Seguridad Social </w:t>
      </w:r>
    </w:p>
    <w:p w:rsidR="009A0316" w:rsidRPr="009A1928" w:rsidRDefault="009A0316" w:rsidP="00437BB2">
      <w:pPr>
        <w:jc w:val="both"/>
      </w:pPr>
      <w:r w:rsidRPr="009A1928">
        <w:t>Durante el año 2019, la base de cotización por todas las contingencias de los empleados públicos encuadrados en el Régimen General de la Seguridad Social a quienes hubiera sido de aplicación lo establecido en la disposición adicional séptima del Real Decreto-ley 8/2010, de 20 de mayo, por el que se adoptan medidas extraordinarias para la reducción del déficit público, en tanto permanezca su relación laboral o de servicio, será coincidente con la habida en el mes de diciembre de 2010, salvo que por razón de las retribuciones que perciban pudiera corresponder una de mayor cuantía, en cuyo caso será esta por la que se efectuará la cotización mensual.</w:t>
      </w:r>
    </w:p>
    <w:p w:rsidR="009A0316" w:rsidRPr="009A1928" w:rsidRDefault="009A0316" w:rsidP="00437BB2">
      <w:pPr>
        <w:jc w:val="both"/>
      </w:pPr>
      <w:r w:rsidRPr="009A1928">
        <w:t>A efectos de lo indicado en el párrafo anterior, de la base de cotización correspondiente al mes de diciembre de 2010 se deducirán, en su caso, los importes de los conceptos retributivos que tengan una periodicidad en su devengo superior a la mensual o que no tengan carácter periódico y que hubieren integrado dicha base sin haber sido objeto de prorrateo.</w:t>
      </w:r>
    </w:p>
    <w:p w:rsidR="009A0316" w:rsidRPr="009A1928" w:rsidRDefault="009A0316" w:rsidP="00437BB2">
      <w:pPr>
        <w:jc w:val="both"/>
      </w:pPr>
      <w:r w:rsidRPr="009A1928">
        <w:t xml:space="preserve">Disposición adicional quinta Cotización por contingencias profesionales de las personas sometidas a penas de trabajo en beneficio de la comunidad </w:t>
      </w:r>
    </w:p>
    <w:p w:rsidR="009A0316" w:rsidRPr="009A1928" w:rsidRDefault="009A0316" w:rsidP="00437BB2">
      <w:pPr>
        <w:jc w:val="both"/>
      </w:pPr>
      <w:r w:rsidRPr="009A1928">
        <w:t>Conforme a lo previsto en el capítulo IX del Real Decreto 782/2001, de 6 de julio, por el que se regula la relación laboral de carácter especial de los penados que realicen actividades laborales en talleres penitenciarios y la protección de Seguridad Social de los sometidos a penas de trabajo en beneficio de la comunidad, la cotización por las contingencias de accidentes de trabajo y enfermedades profesionales de las personas sentenciadas a la pena de trabajo en beneficio de la comunidad que se encuentren cumpliéndola únicamente se efectuará por los días de prestación efectiva de dicho trabajo.</w:t>
      </w:r>
    </w:p>
    <w:p w:rsidR="009A0316" w:rsidRPr="009A1928" w:rsidRDefault="009A0316" w:rsidP="00437BB2">
      <w:pPr>
        <w:jc w:val="both"/>
      </w:pPr>
      <w:r w:rsidRPr="009A1928">
        <w:t>La cotización se determinará aplicando al tope mínimo de cotización fijado en cada ejercicio en el Régimen General de la Seguridad Social el tipo de cotización establecido en la tarifa de primas que corresponda a la actividad económica de prestación de servicios a la comunidad en general, efectuándose el ingreso de las cuotas que procedan a favor de la Tesorería General de la Seguridad Social, con carácter anual, dentro de los 15 primeros días del mes de diciembre de 2019.</w:t>
      </w:r>
    </w:p>
    <w:p w:rsidR="009A0316" w:rsidRPr="009A1928" w:rsidRDefault="009A0316" w:rsidP="00437BB2">
      <w:pPr>
        <w:jc w:val="both"/>
      </w:pPr>
      <w:r w:rsidRPr="009A1928">
        <w:t>A tal efecto, el Ministerio del Interior certificará los importes adeudados correspondientes a las cotizaciones devengadas en los 12 meses naturales anteriores, en los términos y con los requisitos que se determinen por la Tesorería General de la Seguridad Social.</w:t>
      </w:r>
    </w:p>
    <w:p w:rsidR="009A0316" w:rsidRPr="009A1928" w:rsidRDefault="009A0316" w:rsidP="00437BB2">
      <w:pPr>
        <w:jc w:val="both"/>
      </w:pPr>
      <w:r w:rsidRPr="009A1928">
        <w:t>DISPOSICIONES TRANSITORIAS</w:t>
      </w:r>
    </w:p>
    <w:p w:rsidR="009A0316" w:rsidRPr="009A1928" w:rsidRDefault="009A0316" w:rsidP="00437BB2">
      <w:pPr>
        <w:jc w:val="both"/>
      </w:pPr>
      <w:r w:rsidRPr="009A1928">
        <w:t xml:space="preserve">Disposición transitoria primera Opción de bases de cotización, en determinados supuestos, en el Régimen Especial de Trabajadores por Cuenta Propia o Autónomos </w:t>
      </w:r>
    </w:p>
    <w:p w:rsidR="009A0316" w:rsidRPr="009A1928" w:rsidRDefault="009A0316" w:rsidP="00437BB2">
      <w:pPr>
        <w:jc w:val="both"/>
      </w:pPr>
      <w:r w:rsidRPr="009A1928">
        <w:t>Los trabajadores comprendidos en el Régimen Especial de los Trabajadores por Cuenta Propia o Autónomos y los trabajadores por cuenta propia incluidos en el grupo primero de cotización del Régimen Especial de Trabajadores del Mar que, en la fecha de surtir efectos las bases de cotización previstas en el artículo 15, hubieran optado por las bases máximas permitidas hasta ese momento, podrán elegir, hasta el último día del mes siguiente al de la publicación de esta orden en el «Boletín Oficial del Estado», cualquier base de cotización de las comprendidas entre aquella por la que vinieran cotizando y el límite máximo que les sea de aplicación. La nueva base elegida surtirá efectos a partir de 1 de enero de 2019.</w:t>
      </w:r>
    </w:p>
    <w:p w:rsidR="009A0316" w:rsidRPr="009A1928" w:rsidRDefault="009A0316" w:rsidP="00437BB2">
      <w:pPr>
        <w:jc w:val="both"/>
      </w:pPr>
      <w:r w:rsidRPr="009A1928">
        <w:t xml:space="preserve">Disposición transitoria segunda Ingreso de diferencias de cotización </w:t>
      </w:r>
    </w:p>
    <w:p w:rsidR="009A0316" w:rsidRPr="009A1928" w:rsidRDefault="009A0316" w:rsidP="00437BB2">
      <w:pPr>
        <w:jc w:val="both"/>
      </w:pPr>
      <w:r w:rsidRPr="009A1928">
        <w:t>1. Las diferencias de cotización que se hubieran podido producir por la aplicación de lo dispuesto en esta orden respecto de las cotizaciones que, a partir de 1 de enero de 2019, se hubieran efectuado, podrán ser ingresadas sin recargo en el plazo que finalizará el último día del segundo mes siguiente al de la publicación de esta orden en el «Boletín Oficial del Estado».</w:t>
      </w:r>
    </w:p>
    <w:p w:rsidR="009A0316" w:rsidRPr="009A1928" w:rsidRDefault="009A0316" w:rsidP="00437BB2">
      <w:pPr>
        <w:jc w:val="both"/>
      </w:pPr>
      <w:r w:rsidRPr="009A1928">
        <w:t>2. Asimismo, las diferencias de cotización que se produzcan como consecuencia de lo que se establece en la disposición transitoria primera, cuando los trabajadores a los que se refiere opten por una base de cotización superior a aquella por la que vinieren cotizando, se podrán ingresar sin recargo hasta el último día del mes siguiente a aquel en que finalice el plazo de opción que se fija en la disposición señalada.</w:t>
      </w:r>
    </w:p>
    <w:p w:rsidR="009A0316" w:rsidRPr="009A1928" w:rsidRDefault="009A0316" w:rsidP="00437BB2">
      <w:pPr>
        <w:jc w:val="both"/>
      </w:pPr>
      <w:r w:rsidRPr="009A1928">
        <w:t xml:space="preserve">Disposición transitoria tercera Determinación provisional de las bases de cotización aplicables en el Régimen Especial de la Seguridad Social para la Minería del Carbón </w:t>
      </w:r>
    </w:p>
    <w:p w:rsidR="009A0316" w:rsidRPr="009A1928" w:rsidRDefault="009A0316" w:rsidP="00437BB2">
      <w:pPr>
        <w:jc w:val="both"/>
      </w:pPr>
      <w:r w:rsidRPr="009A1928">
        <w:t>La cotización por los trabajadores incluidos en el Régimen Especial de la Seguridad Social para la Minería del Carbón, respecto de contingencias comunes, se efectuará sobre las bases establecidas para 2018, hasta tanto se aprueben las bases de cotización que han de regir en el presente ejercicio, sin perjuicio de las regularizaciones a que, con posterioridad, hubiere lugar.</w:t>
      </w:r>
    </w:p>
    <w:p w:rsidR="009A0316" w:rsidRPr="009A1928" w:rsidRDefault="009A0316" w:rsidP="00437BB2">
      <w:pPr>
        <w:jc w:val="both"/>
      </w:pPr>
      <w:r w:rsidRPr="009A1928">
        <w:t>DISPOSICIONES FINALES</w:t>
      </w:r>
    </w:p>
    <w:p w:rsidR="009A0316" w:rsidRPr="009A1928" w:rsidRDefault="009A0316" w:rsidP="00437BB2">
      <w:pPr>
        <w:jc w:val="both"/>
      </w:pPr>
      <w:r w:rsidRPr="009A1928">
        <w:t xml:space="preserve">Disposición final primera Título competencial </w:t>
      </w:r>
    </w:p>
    <w:p w:rsidR="009A0316" w:rsidRPr="009A1928" w:rsidRDefault="009A0316" w:rsidP="00437BB2">
      <w:pPr>
        <w:jc w:val="both"/>
      </w:pPr>
      <w:r w:rsidRPr="009A1928">
        <w:t>Esta orden se dicta al amparo del artículo 149.1.17.ª de la Constitución, que atribuye al Estado la competencia en materia de régimen económico de la Seguridad Social.</w:t>
      </w:r>
    </w:p>
    <w:p w:rsidR="009A0316" w:rsidRPr="009A1928" w:rsidRDefault="009A0316" w:rsidP="00437BB2">
      <w:pPr>
        <w:jc w:val="both"/>
      </w:pPr>
      <w:r w:rsidRPr="009A1928">
        <w:t xml:space="preserve">Disposición final segunda Aplicación de la norma </w:t>
      </w:r>
    </w:p>
    <w:p w:rsidR="009A0316" w:rsidRPr="009A1928" w:rsidRDefault="009A0316" w:rsidP="00437BB2">
      <w:pPr>
        <w:jc w:val="both"/>
      </w:pPr>
      <w:r w:rsidRPr="009A1928">
        <w:t>La Dirección General de Ordenación de la Seguridad Social resolverá cuantas cuestiones de índole general puedan plantearse en la aplicación de esta orden.</w:t>
      </w:r>
    </w:p>
    <w:p w:rsidR="009A0316" w:rsidRPr="009A1928" w:rsidRDefault="009A0316" w:rsidP="00437BB2">
      <w:pPr>
        <w:jc w:val="both"/>
      </w:pPr>
      <w:r w:rsidRPr="009A1928">
        <w:t xml:space="preserve">Disposición final tercera Entrada en vigor </w:t>
      </w:r>
    </w:p>
    <w:p w:rsidR="009A0316" w:rsidRPr="009A1928" w:rsidRDefault="009A0316" w:rsidP="00437BB2">
      <w:pPr>
        <w:jc w:val="both"/>
      </w:pPr>
      <w:r w:rsidRPr="009A1928">
        <w:t>La presente orden entrará en vigor el día siguiente al de su publicación en el «Boletín Oficial del Estado», con efectos desde el día 1 de enero de 2019.</w:t>
      </w:r>
    </w:p>
    <w:p w:rsidR="009A0316" w:rsidRPr="009A1928" w:rsidRDefault="009A0316" w:rsidP="00437BB2">
      <w:pPr>
        <w:jc w:val="both"/>
      </w:pPr>
      <w:r w:rsidRPr="009A1928">
        <w:t xml:space="preserve">ANEXO </w:t>
      </w:r>
      <w:r w:rsidRPr="009A1928">
        <w:br/>
      </w:r>
      <w:r w:rsidRPr="009A1928">
        <w:br/>
        <w:t>Valores límite de los índices de siniestralidad general y de siniestralidad extrema para el ejercicio 2018</w:t>
      </w:r>
    </w:p>
    <w:tbl>
      <w:tblPr>
        <w:tblW w:w="5000" w:type="pct"/>
        <w:tblCellMar>
          <w:top w:w="15" w:type="dxa"/>
          <w:left w:w="15" w:type="dxa"/>
          <w:bottom w:w="15" w:type="dxa"/>
          <w:right w:w="15" w:type="dxa"/>
        </w:tblCellMar>
        <w:tblLook w:val="04A0" w:firstRow="1" w:lastRow="0" w:firstColumn="1" w:lastColumn="0" w:noHBand="0" w:noVBand="1"/>
      </w:tblPr>
      <w:tblGrid>
        <w:gridCol w:w="447"/>
        <w:gridCol w:w="6776"/>
        <w:gridCol w:w="501"/>
        <w:gridCol w:w="390"/>
        <w:gridCol w:w="390"/>
      </w:tblGrid>
      <w:tr w:rsidR="009A0316" w:rsidRPr="009A1928" w:rsidTr="009A0316">
        <w:trPr>
          <w:tblHeader/>
        </w:trPr>
        <w:tc>
          <w:tcPr>
            <w:tcW w:w="0" w:type="auto"/>
            <w:gridSpan w:val="2"/>
            <w:vMerge w:val="restart"/>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Códigos CNAE-2009 y título de la actividad económica</w:t>
            </w:r>
          </w:p>
        </w:tc>
        <w:tc>
          <w:tcPr>
            <w:tcW w:w="0" w:type="auto"/>
            <w:gridSpan w:val="3"/>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Índices</w:t>
            </w:r>
          </w:p>
        </w:tc>
      </w:tr>
      <w:tr w:rsidR="009A0316" w:rsidRPr="009A1928" w:rsidTr="009A0316">
        <w:trPr>
          <w:tblHeader/>
        </w:trPr>
        <w:tc>
          <w:tcPr>
            <w:tcW w:w="0" w:type="auto"/>
            <w:gridSpan w:val="2"/>
            <w:vMerge/>
            <w:shd w:val="clear" w:color="auto" w:fill="auto"/>
            <w:vAlign w:val="center"/>
            <w:hideMark/>
          </w:tcPr>
          <w:p w:rsidR="009A0316" w:rsidRPr="009A1928" w:rsidRDefault="009A0316" w:rsidP="00437BB2">
            <w:pPr>
              <w:jc w:val="both"/>
            </w:pP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II</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III</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Agricultura, ganadería, caza y servicios relacionados con las mismas. Excepto: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Cultivo de hortalizas, raíces y tubérculos.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Otros cultivos no perennes.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Otros cultivos perennes.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Propagación de plantas.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Producción ganadera (excepto el 0147).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Avicultura.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Producción agrícola combinada con la producción ganadera.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apoyo a la agricultura, a la ganadería y de preparación posterior a la cosecha (excepto 0164).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Tratamiento de semillas para reproducción.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Caza, captura de animales y servicios relacionados con las mismas.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Silvicultura y explotación forestal.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Pesca y acuicultura (excepto 0322).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322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Acuicultura en agua dulce.</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Extracción de antracita, hulla y lignito.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19,33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Extracción de crudo de petróleo y gas natural.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Extracción de minerales metálicos.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Otras industrias extractivas (excepto 0811).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Extracción de piedra ornamental y para la construcción, piedra caliza, yeso, creta y pizarra.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19,33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apoyo a las industrias extractivas.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de la alimentación (excepto 101,102,106, 107 y 108).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Procesado y conservación de carne y elaboración de productos cárnicos.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Procesado y conservación de pescados, crustáceos y moluscos.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de molinería, almidones y productos amiláceos.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de panadería y pastas alimenticias.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108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otros productos alimenticios.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bebidas.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del tabaco.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textil (excepto 1391).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1391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tejidos de punto.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Confección de prendas de vestir (excepto 1411, 1420 y 143).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Confección de prendas de vestir de cuero.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1420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artículos de peletería.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143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Confección de prendas de vestir de punto.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del cuero y del calzado.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de la madera y del corcho, excepto muebles; cestería y espartería (excepto 1624 y 1629).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1624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envases y embalajes de madera.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1629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otros productos de madera; artículos de corcho, cestería y espartería.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del papel (excepto 171).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pasta papelera, papel y cartón.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Artes gráficas y reproducción de soportes grabados.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Coquerías y refino de petróleo.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Industria química (excepto 204 y 206).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204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jabones, detergentes y otros artículos de limpieza y abrillantamiento; fabricación de perfumes y cosméticos.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206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fibras artificiales y sintéticas.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farmacéuticos.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de caucho y plástico.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otros productos minerales no metálicos (excepto 231, 232, 2331, 234 y 237).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vidrio y productos de vidrio.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cerámicos refractarios.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2331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azulejos y baldosas de cerámica.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otros productos cerámicos.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237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Corte, tallado y acabado de la piedra.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Metalurgia; fabricación de productos de hierro, acero y ferroaleaciones.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metálicos, excepto maquinaria y equipo.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productos informáticos, electrónicos y ópticos.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material y equipo eléctrico.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maquinaria y equipo n.c.o.p.</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29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vehículos de motor, remolques y semirremolques.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otro material de transporte (excepto 3091, 3092).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3091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motocicletas.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3092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bicicletas y de vehículos para personas con discapacidad.</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muebles.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Otra industria manufacturera (excepto 321, 322).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artículos de joyería y artículos similares.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322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Fabricación de instrumentos musicales.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Reparación e instalación de maquinaria y equipo (excepto 3313, y 3314).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3313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Reparación de equipos electrónicos y ópticos.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3314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Reparación de equipos eléctricos.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Suministro de energía eléctrica, gas, vapor y aire acondicionado.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Captación, depuración y distribución de agua.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Recogida y tratamiento de aguas residuales.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Recogida, tratamiento y eliminación de residuos; valorización.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descontaminación y otros servicios de gestión de residuos.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Construcción de edificios (excepto 411).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Promoción inmobiliaria.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Ingeniería civil.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construcción especializada.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17,53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0,99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Venta y reparación de vehículos de motor y motocicletas (excepto 452 y 454).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Mantenimiento y reparación de vehículos de motor.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Venta, mantenimiento y reparación de motocicletas y de sus repuestos y accesorios.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e intermediarios del comercio, excepto de vehículos de motor y motocicletas. Excepto: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4623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animales vivos.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4624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cueros y pieles.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4632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carne y productos cárnicos.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4638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pescados, mariscos y otros productos alimenticios.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metales y minerales metálicos.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4673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madera, materiales de construcción y aparatos sanitarios.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4674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ferretería, fontanería y calefacción.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4677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de chatarra y productos de desecho.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4690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mayor no especializado.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menor, excepto de vehículos de motor y motocicletas (excepto 473).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473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Comercio al por menor de combustible para la automoción en establecimientos especializados.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Transporte terrestre y por tubería (excepto 494).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494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Transporte de mercancías por carreteras y servicios de mudanza.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Transporte marítimo y por vías navegables interiores.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Transporte aéreo.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Almacenamiento y actividades anexas al transporte (excepto 5221).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anexas al transporte terrestre.</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postales y de correos.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de alojamiento.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de comidas y bebidas.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Edición.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w:t>
            </w:r>
          </w:p>
        </w:tc>
        <w:tc>
          <w:tcPr>
            <w:tcW w:w="0" w:type="auto"/>
            <w:shd w:val="clear" w:color="auto" w:fill="auto"/>
            <w:tcMar>
              <w:top w:w="0" w:type="dxa"/>
              <w:left w:w="0" w:type="dxa"/>
              <w:bottom w:w="0" w:type="dxa"/>
              <w:right w:w="0" w:type="dxa"/>
            </w:tcMar>
            <w:vAlign w:val="center"/>
            <w:hideMark/>
          </w:tcPr>
          <w:p w:rsidR="009A0316" w:rsidRPr="009A1928" w:rsidRDefault="000A64F6" w:rsidP="00437BB2">
            <w:pPr>
              <w:jc w:val="both"/>
            </w:pPr>
            <w:r w:rsidRPr="009A1928">
              <w:t>Actividades cinematográficas</w:t>
            </w:r>
            <w:r w:rsidR="009A0316" w:rsidRPr="009A1928">
              <w:t>, de vídeo y de programas de televisión, grabación de sonido y edición musical.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programación y emisión de radio y televisión.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Telecomunicaciones.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Programación, consultoría y otras actividades relacionadas con la informática.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de información (excepto 6391).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6391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las agencias de noticias.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financieros, excepto seguros y fondos de pensiones.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Seguros, reaseguros y fondos de pensiones, excepto Seguridad Social obligatoria.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auxiliares a los servicios financieros y a los seguros.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inmobiliarias.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69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jurídicas y de contabilidad.</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las sedes centrales; actividades de consultoría de gestión empresarial.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técnicos de arquitectura e ingeniería; ensayos y análisis técnicos.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Investigación y desarrollo.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Publicidad y estudios de mercado.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Otras actividades profesionales, científicas y técnicas (excepto 742).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742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fotografía.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veterinarias.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alquiler.</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relacionadas con el empleo (excepto 781).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781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las agencias de colocación.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las agencias de viajes, operadores turísticos, servicios de reservas y actividades relacionadas con los mismos.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seguridad e investigación.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a edificios y actividades de jardinería (excepto 811).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Servicios integrales a edificios e instalaciones.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administrativas de oficina y otras actividades auxiliares a las empresas (excepto 8220 y 8292).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8220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los centros de llamadas.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8292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envasado y empaquetado.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Administración Pública y defensa; Seguridad Social obligatoria (excepto 842).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842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Prestación de servicios a la comunidad en general.</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Educación.</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sanitarias (excepto 869).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869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Otras actividades sanitarias.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Asistencia en establecimientos residenciales.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88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servicios sociales sin alojamiento.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90</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creación, artísticas y espectáculos.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bibliotecas, archivos, museos y otras actividades culturales (excepto: 9104).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9104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los jardines botánicos, parques zoológicos y reservas naturales.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juegos de azar y apuestas.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deportivas, recreativas y de entretenimiento.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asociativas.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95</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Reparación de ordenadores, efectos personales y artículos de uso doméstico (excepto 9524).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9524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Reparación de muebles y artículos de menaje.</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12,21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1,11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0,69</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Otros servicios personales (excepto 9602, 9603 y 9609).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9602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Peluquería y otros tratamientos de belleza.</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9603</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Pompas fúnebres y actividades relacionadas.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7,91</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0,72</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0,45</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9609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Otros servicios personales n.c.o.p.</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97</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los hogares como empleadores de personal doméstico.</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3,98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0,36</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0,22</w:t>
            </w:r>
          </w:p>
        </w:tc>
      </w:tr>
      <w:tr w:rsidR="009A0316" w:rsidRPr="009A1928" w:rsidTr="009A0316">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99</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Actividades de organizaciones y organismos extraterritoriales.</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5,98</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0,54</w:t>
            </w:r>
          </w:p>
        </w:tc>
        <w:tc>
          <w:tcPr>
            <w:tcW w:w="0" w:type="auto"/>
            <w:shd w:val="clear" w:color="auto" w:fill="auto"/>
            <w:tcMar>
              <w:top w:w="0" w:type="dxa"/>
              <w:left w:w="0" w:type="dxa"/>
              <w:bottom w:w="0" w:type="dxa"/>
              <w:right w:w="0" w:type="dxa"/>
            </w:tcMar>
            <w:vAlign w:val="center"/>
            <w:hideMark/>
          </w:tcPr>
          <w:p w:rsidR="009A0316" w:rsidRPr="009A1928" w:rsidRDefault="009A0316" w:rsidP="00437BB2">
            <w:pPr>
              <w:jc w:val="both"/>
            </w:pPr>
            <w:r w:rsidRPr="009A1928">
              <w:t>0,33</w:t>
            </w:r>
          </w:p>
        </w:tc>
      </w:tr>
    </w:tbl>
    <w:p w:rsidR="003D00EE" w:rsidRDefault="003D00EE" w:rsidP="00437BB2">
      <w:pPr>
        <w:jc w:val="both"/>
      </w:pPr>
    </w:p>
    <w:p w:rsidR="00437BB2" w:rsidRDefault="00437BB2" w:rsidP="00437BB2">
      <w:pPr>
        <w:jc w:val="both"/>
      </w:pPr>
    </w:p>
    <w:p w:rsidR="00437BB2" w:rsidRPr="00437BB2" w:rsidRDefault="00437BB2" w:rsidP="00940258">
      <w:pPr>
        <w:jc w:val="center"/>
        <w:rPr>
          <w:rFonts w:ascii="Arial" w:hAnsi="Arial" w:cs="Arial"/>
          <w:sz w:val="72"/>
          <w:szCs w:val="72"/>
          <w:u w:val="single"/>
        </w:rPr>
      </w:pPr>
      <w:r w:rsidRPr="00437BB2">
        <w:rPr>
          <w:rFonts w:ascii="Arial" w:hAnsi="Arial" w:cs="Arial"/>
          <w:sz w:val="72"/>
          <w:szCs w:val="72"/>
          <w:u w:val="single"/>
        </w:rPr>
        <w:t>R E S U M E N</w:t>
      </w:r>
    </w:p>
    <w:p w:rsidR="00437BB2" w:rsidRDefault="00437BB2" w:rsidP="00437BB2">
      <w:pPr>
        <w:jc w:val="both"/>
      </w:pPr>
    </w:p>
    <w:p w:rsidR="00437BB2" w:rsidRDefault="00437BB2" w:rsidP="00437BB2">
      <w:pPr>
        <w:jc w:val="both"/>
      </w:pPr>
    </w:p>
    <w:p w:rsidR="00437BB2" w:rsidRPr="00437BB2" w:rsidRDefault="00437BB2" w:rsidP="00437BB2">
      <w:pPr>
        <w:shd w:val="clear" w:color="auto" w:fill="FFFFFF"/>
        <w:spacing w:after="300" w:line="274" w:lineRule="auto"/>
        <w:jc w:val="both"/>
        <w:outlineLvl w:val="0"/>
        <w:rPr>
          <w:rFonts w:ascii="Majerit" w:eastAsia="Times New Roman" w:hAnsi="Majerit" w:cs="Helvetica"/>
          <w:b/>
          <w:bCs/>
          <w:color w:val="000000"/>
          <w:spacing w:val="-15"/>
          <w:kern w:val="36"/>
          <w:sz w:val="63"/>
          <w:szCs w:val="63"/>
          <w:lang w:eastAsia="es-ES"/>
        </w:rPr>
      </w:pPr>
      <w:r w:rsidRPr="00437BB2">
        <w:rPr>
          <w:rFonts w:ascii="Majerit" w:eastAsia="Times New Roman" w:hAnsi="Majerit" w:cs="Helvetica"/>
          <w:b/>
          <w:bCs/>
          <w:color w:val="000000"/>
          <w:spacing w:val="-15"/>
          <w:kern w:val="36"/>
          <w:sz w:val="63"/>
          <w:szCs w:val="63"/>
          <w:lang w:eastAsia="es-ES"/>
        </w:rPr>
        <w:t xml:space="preserve">Publicada la Orden de cotización para el 2019 </w:t>
      </w:r>
    </w:p>
    <w:p w:rsidR="00437BB2" w:rsidRPr="00437BB2" w:rsidRDefault="00437BB2" w:rsidP="00437BB2">
      <w:pPr>
        <w:shd w:val="clear" w:color="auto" w:fill="FFFFFF"/>
        <w:spacing w:after="0" w:line="0" w:lineRule="auto"/>
        <w:jc w:val="both"/>
        <w:rPr>
          <w:rFonts w:ascii="Roboto" w:eastAsia="Times New Roman" w:hAnsi="Roboto" w:cs="Helvetica"/>
          <w:color w:val="555555"/>
          <w:sz w:val="2"/>
          <w:szCs w:val="2"/>
          <w:lang w:eastAsia="es-ES"/>
        </w:rPr>
      </w:pPr>
      <w:r w:rsidRPr="00437BB2">
        <w:rPr>
          <w:rFonts w:ascii="Roboto" w:eastAsia="Times New Roman" w:hAnsi="Roboto" w:cs="Helvetica"/>
          <w:color w:val="555555"/>
          <w:sz w:val="2"/>
          <w:szCs w:val="2"/>
          <w:bdr w:val="none" w:sz="0" w:space="0" w:color="auto" w:frame="1"/>
          <w:lang w:eastAsia="es-ES"/>
        </w:rPr>
        <w:t>AddThis Sharing Buttons</w:t>
      </w:r>
    </w:p>
    <w:p w:rsidR="00437BB2" w:rsidRPr="00437BB2" w:rsidRDefault="00437BB2" w:rsidP="00437BB2">
      <w:pPr>
        <w:shd w:val="clear" w:color="auto" w:fill="FFFFFF"/>
        <w:spacing w:after="0" w:line="0" w:lineRule="auto"/>
        <w:jc w:val="both"/>
        <w:rPr>
          <w:rFonts w:ascii="Roboto" w:eastAsia="Times New Roman" w:hAnsi="Roboto" w:cs="Helvetica"/>
          <w:color w:val="555555"/>
          <w:sz w:val="2"/>
          <w:szCs w:val="2"/>
          <w:lang w:eastAsia="es-ES"/>
        </w:rPr>
      </w:pPr>
      <w:r w:rsidRPr="00437BB2">
        <w:rPr>
          <w:rFonts w:ascii="Roboto" w:eastAsia="Times New Roman" w:hAnsi="Roboto" w:cs="Helvetica"/>
          <w:color w:val="555555"/>
          <w:sz w:val="2"/>
          <w:szCs w:val="2"/>
          <w:bdr w:val="none" w:sz="0" w:space="0" w:color="auto" w:frame="1"/>
          <w:lang w:eastAsia="es-ES"/>
        </w:rPr>
        <w:t>Share to FacebookShare to TwitterShare to LinkedInShare to WhatsAppShare to Más...</w:t>
      </w:r>
      <w:r w:rsidR="00374580">
        <w:rPr>
          <w:rFonts w:ascii="Roboto" w:eastAsia="Times New Roman" w:hAnsi="Roboto" w:cs="Helvetica"/>
          <w:vanish/>
          <w:color w:val="555555"/>
          <w:sz w:val="23"/>
          <w:szCs w:val="23"/>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8pt">
            <v:imagedata r:id="rId7" o:title=""/>
          </v:shape>
        </w:pict>
      </w:r>
      <w:r w:rsidRPr="00437BB2">
        <w:rPr>
          <w:rFonts w:ascii="Roboto" w:eastAsia="Times New Roman" w:hAnsi="Roboto" w:cs="Helvetica"/>
          <w:vanish/>
          <w:color w:val="555555"/>
          <w:sz w:val="23"/>
          <w:szCs w:val="23"/>
          <w:lang w:eastAsia="es-ES"/>
        </w:rPr>
        <w:br/>
        <w:t xml:space="preserve">       + - </w:t>
      </w:r>
      <w:r w:rsidRPr="00437BB2">
        <w:rPr>
          <w:rFonts w:ascii="Roboto" w:eastAsia="Times New Roman" w:hAnsi="Roboto" w:cs="Helvetica"/>
          <w:b/>
          <w:bCs/>
          <w:vanish/>
          <w:color w:val="555555"/>
          <w:sz w:val="23"/>
          <w:szCs w:val="23"/>
          <w:lang w:eastAsia="es-ES"/>
        </w:rPr>
        <w:t>San-serif</w:t>
      </w:r>
      <w:r w:rsidRPr="00437BB2">
        <w:rPr>
          <w:rFonts w:ascii="Roboto" w:eastAsia="Times New Roman" w:hAnsi="Roboto" w:cs="Helvetica"/>
          <w:vanish/>
          <w:color w:val="555555"/>
          <w:sz w:val="23"/>
          <w:szCs w:val="23"/>
          <w:lang w:eastAsia="es-ES"/>
        </w:rPr>
        <w:t xml:space="preserve"> </w:t>
      </w:r>
      <w:r w:rsidRPr="00437BB2">
        <w:rPr>
          <w:rFonts w:ascii="Roboto" w:eastAsia="Times New Roman" w:hAnsi="Roboto" w:cs="Helvetica"/>
          <w:b/>
          <w:bCs/>
          <w:vanish/>
          <w:color w:val="555555"/>
          <w:sz w:val="23"/>
          <w:szCs w:val="23"/>
          <w:lang w:eastAsia="es-ES"/>
        </w:rPr>
        <w:t>Serif</w:t>
      </w:r>
    </w:p>
    <w:p w:rsidR="00437BB2" w:rsidRPr="00437BB2" w:rsidRDefault="00437BB2" w:rsidP="00437BB2">
      <w:pPr>
        <w:numPr>
          <w:ilvl w:val="0"/>
          <w:numId w:val="1"/>
        </w:numPr>
        <w:shd w:val="clear" w:color="auto" w:fill="FFFFFF"/>
        <w:spacing w:before="300" w:after="300" w:line="240" w:lineRule="auto"/>
        <w:ind w:left="75"/>
        <w:jc w:val="both"/>
        <w:outlineLvl w:val="1"/>
        <w:rPr>
          <w:rFonts w:ascii="Majerit" w:eastAsia="Times New Roman" w:hAnsi="Majerit" w:cs="Helvetica"/>
          <w:i/>
          <w:iCs/>
          <w:color w:val="555555"/>
          <w:sz w:val="24"/>
          <w:szCs w:val="24"/>
          <w:lang w:eastAsia="es-ES"/>
        </w:rPr>
      </w:pPr>
      <w:r w:rsidRPr="00437BB2">
        <w:rPr>
          <w:rFonts w:ascii="Majerit" w:eastAsia="Times New Roman" w:hAnsi="Majerit" w:cs="Helvetica"/>
          <w:i/>
          <w:iCs/>
          <w:color w:val="555555"/>
          <w:sz w:val="24"/>
          <w:szCs w:val="24"/>
          <w:lang w:eastAsia="es-ES"/>
        </w:rPr>
        <w:t>Publicada en el BOE del  02/02/2019, la Orden TMS/83/2019, de 31 de enero, por la que se desarrollan las normas legales de cotización a la Seguridad Social, desempleo, protección por cese de actividad, Fondo de Garantía Salarial y formación profesional para el ejercicio 2019.  La orden surte efectos desde el día 1 de enero de 2019, tal y como establece su disposición final tercera.  </w:t>
      </w:r>
    </w:p>
    <w:p w:rsidR="00437BB2" w:rsidRPr="00437BB2" w:rsidRDefault="00374580" w:rsidP="00437BB2">
      <w:pPr>
        <w:shd w:val="clear" w:color="auto" w:fill="FFFFFF"/>
        <w:spacing w:before="300" w:after="300" w:line="240" w:lineRule="auto"/>
        <w:jc w:val="both"/>
        <w:rPr>
          <w:rFonts w:ascii="Roboto" w:eastAsia="Times New Roman" w:hAnsi="Roboto" w:cs="Helvetica"/>
          <w:color w:val="555555"/>
          <w:sz w:val="23"/>
          <w:szCs w:val="23"/>
          <w:lang w:eastAsia="es-ES"/>
        </w:rPr>
      </w:pPr>
      <w:r>
        <w:rPr>
          <w:rFonts w:ascii="Roboto" w:eastAsia="Times New Roman" w:hAnsi="Roboto" w:cs="Helvetica"/>
          <w:color w:val="555555"/>
          <w:sz w:val="23"/>
          <w:szCs w:val="23"/>
          <w:lang w:eastAsia="es-ES"/>
        </w:rPr>
        <w:pict>
          <v:rect id="_x0000_i1026" style="width:0;height:0" o:hralign="center" o:hrstd="t" o:hr="t" fillcolor="#a0a0a0" stroked="f"/>
        </w:pict>
      </w:r>
    </w:p>
    <w:p w:rsidR="00437BB2" w:rsidRPr="00437BB2" w:rsidRDefault="00437BB2" w:rsidP="00437BB2">
      <w:pPr>
        <w:shd w:val="clear" w:color="auto" w:fill="FFFFFF"/>
        <w:spacing w:before="300" w:after="30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noProof/>
          <w:color w:val="555555"/>
          <w:sz w:val="23"/>
          <w:szCs w:val="23"/>
          <w:lang w:eastAsia="es-ES"/>
        </w:rPr>
        <w:drawing>
          <wp:inline distT="0" distB="0" distL="0" distR="0" wp14:anchorId="63B9CAF0" wp14:editId="0AE6CFDF">
            <wp:extent cx="8203349" cy="4286250"/>
            <wp:effectExtent l="0" t="0" r="7620" b="0"/>
            <wp:docPr id="7" name="Imagen 7" descr="Orden de cotizació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den de cotización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982" cy="4287103"/>
                    </a:xfrm>
                    <a:prstGeom prst="rect">
                      <a:avLst/>
                    </a:prstGeom>
                    <a:noFill/>
                    <a:ln>
                      <a:noFill/>
                    </a:ln>
                  </pic:spPr>
                </pic:pic>
              </a:graphicData>
            </a:graphic>
          </wp:inline>
        </w:drawing>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Siguiendo las diversas </w:t>
      </w:r>
      <w:r w:rsidRPr="00437BB2">
        <w:rPr>
          <w:rFonts w:ascii="Roboto" w:eastAsia="Times New Roman" w:hAnsi="Roboto" w:cs="Helvetica"/>
          <w:color w:val="2F83E0"/>
          <w:sz w:val="23"/>
          <w:szCs w:val="23"/>
          <w:lang w:eastAsia="es-ES"/>
        </w:rPr>
        <w:t>modificaciones en el ámbito de la cotización</w:t>
      </w:r>
      <w:r w:rsidRPr="00437BB2">
        <w:rPr>
          <w:rFonts w:ascii="Roboto" w:eastAsia="Times New Roman" w:hAnsi="Roboto" w:cs="Helvetica"/>
          <w:color w:val="555555"/>
          <w:sz w:val="23"/>
          <w:szCs w:val="23"/>
          <w:lang w:eastAsia="es-ES"/>
        </w:rPr>
        <w:t xml:space="preserve"> en el sistema de la Seguridad Social instauradas, con efectos de 1 de enero de 2019 por el </w:t>
      </w:r>
      <w:r w:rsidRPr="00437BB2">
        <w:rPr>
          <w:rFonts w:ascii="Roboto" w:eastAsia="Times New Roman" w:hAnsi="Roboto" w:cs="Helvetica"/>
          <w:color w:val="2F83E0"/>
          <w:sz w:val="23"/>
          <w:szCs w:val="23"/>
          <w:lang w:eastAsia="es-ES"/>
        </w:rPr>
        <w:t>Real Decreto-ley 28/2018, de 28 de diciembre</w:t>
      </w:r>
      <w:r w:rsidRPr="00437BB2">
        <w:rPr>
          <w:rFonts w:ascii="Roboto" w:eastAsia="Times New Roman" w:hAnsi="Roboto" w:cs="Helvetica"/>
          <w:color w:val="555555"/>
          <w:sz w:val="23"/>
          <w:szCs w:val="23"/>
          <w:lang w:eastAsia="es-ES"/>
        </w:rPr>
        <w:t xml:space="preserve">, para la revalorización de las pensiones públicas y otras medidas urgentes en materia social, laboral y de empleo, encontramos y para el </w:t>
      </w:r>
      <w:r w:rsidRPr="00437BB2">
        <w:rPr>
          <w:rFonts w:ascii="Roboto" w:eastAsia="Times New Roman" w:hAnsi="Roboto" w:cs="Helvetica"/>
          <w:color w:val="2F83E0"/>
          <w:sz w:val="23"/>
          <w:szCs w:val="23"/>
          <w:lang w:eastAsia="es-ES"/>
        </w:rPr>
        <w:t>Régimen de artistas</w:t>
      </w:r>
      <w:r w:rsidRPr="00437BB2">
        <w:rPr>
          <w:rFonts w:ascii="Roboto" w:eastAsia="Times New Roman" w:hAnsi="Roboto" w:cs="Helvetica"/>
          <w:color w:val="555555"/>
          <w:sz w:val="23"/>
          <w:szCs w:val="23"/>
          <w:lang w:eastAsia="es-ES"/>
        </w:rPr>
        <w:t xml:space="preserve"> por el </w:t>
      </w:r>
      <w:r w:rsidRPr="00437BB2">
        <w:rPr>
          <w:rFonts w:ascii="Roboto" w:eastAsia="Times New Roman" w:hAnsi="Roboto" w:cs="Helvetica"/>
          <w:color w:val="2F83E0"/>
          <w:sz w:val="23"/>
          <w:szCs w:val="23"/>
          <w:lang w:eastAsia="es-ES"/>
        </w:rPr>
        <w:t>Real Decreto-ley 26/2018, de 28 de diciembre</w:t>
      </w:r>
      <w:r w:rsidRPr="00437BB2">
        <w:rPr>
          <w:rFonts w:ascii="Roboto" w:eastAsia="Times New Roman" w:hAnsi="Roboto" w:cs="Helvetica"/>
          <w:color w:val="555555"/>
          <w:sz w:val="23"/>
          <w:szCs w:val="23"/>
          <w:lang w:eastAsia="es-ES"/>
        </w:rPr>
        <w:t xml:space="preserve">, por el que se aprueban medidas de urgencia sobre la creación artística y la cinematografía, entre los aspectos más relevantes de la </w:t>
      </w:r>
      <w:r w:rsidRPr="00437BB2">
        <w:rPr>
          <w:rFonts w:ascii="Roboto" w:eastAsia="Times New Roman" w:hAnsi="Roboto" w:cs="Helvetica"/>
          <w:color w:val="2F83E0"/>
          <w:sz w:val="23"/>
          <w:szCs w:val="23"/>
          <w:lang w:eastAsia="es-ES"/>
        </w:rPr>
        <w:t>Orden TMS/83/2019, de 31 de enero</w:t>
      </w:r>
      <w:r w:rsidRPr="00437BB2">
        <w:rPr>
          <w:rFonts w:ascii="Roboto" w:eastAsia="Times New Roman" w:hAnsi="Roboto" w:cs="Helvetica"/>
          <w:color w:val="555555"/>
          <w:sz w:val="23"/>
          <w:szCs w:val="23"/>
          <w:lang w:eastAsia="es-ES"/>
        </w:rPr>
        <w:t>, encontramos:</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la elevación en un 7 por ciento de la cuantía del tope máximo y de las bases máximas de cotización durante el año 2019 (</w:t>
      </w:r>
      <w:r w:rsidRPr="00437BB2">
        <w:rPr>
          <w:rFonts w:ascii="Roboto" w:eastAsia="Times New Roman" w:hAnsi="Roboto" w:cs="Helvetica"/>
          <w:color w:val="2F83E0"/>
          <w:sz w:val="23"/>
          <w:szCs w:val="23"/>
          <w:lang w:eastAsia="es-ES"/>
        </w:rPr>
        <w:t>art. 26</w:t>
      </w:r>
      <w:r w:rsidRPr="00437BB2">
        <w:rPr>
          <w:rFonts w:ascii="Roboto" w:eastAsia="Times New Roman" w:hAnsi="Roboto" w:cs="Helvetica"/>
          <w:color w:val="555555"/>
          <w:sz w:val="23"/>
          <w:szCs w:val="23"/>
          <w:lang w:eastAsia="es-ES"/>
        </w:rPr>
        <w:t>), manteniendo la exclusión de los los trabajadores incluidos en el Sistema Especial para Trabajadores por Cuenta Ajena Agrarios establecido en el Régimen General de la Seguridad Social; (</w:t>
      </w:r>
      <w:r w:rsidRPr="00437BB2">
        <w:rPr>
          <w:rFonts w:ascii="Roboto" w:eastAsia="Times New Roman" w:hAnsi="Roboto" w:cs="Helvetica"/>
          <w:color w:val="2F83E0"/>
          <w:sz w:val="23"/>
          <w:szCs w:val="23"/>
          <w:lang w:eastAsia="es-ES"/>
        </w:rPr>
        <w:t>Recargo en la cotización del 40 % para los contratos temporales de corta duración (cinco o menos días)</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la reordenación de los tipos de cotización aplicables al RETA tras la ampliación del ámbito de protección en el Régimen Especial [con un incremento de las bases mínimas de cotización del 1,25 por ciento, es decir en porcentaje más reducido que el aplicado al resto de las bases mínimas de los regímenes del sistema]; (</w:t>
      </w:r>
      <w:r w:rsidRPr="00437BB2">
        <w:rPr>
          <w:rFonts w:ascii="Roboto" w:eastAsia="Times New Roman" w:hAnsi="Roboto" w:cs="Helvetica"/>
          <w:color w:val="2F83E0"/>
          <w:sz w:val="23"/>
          <w:szCs w:val="23"/>
          <w:lang w:eastAsia="es-ES"/>
        </w:rPr>
        <w:t>art. 30</w:t>
      </w:r>
      <w:r w:rsidRPr="00437BB2">
        <w:rPr>
          <w:rFonts w:ascii="Roboto" w:eastAsia="Times New Roman" w:hAnsi="Roboto" w:cs="Helvetica"/>
          <w:color w:val="555555"/>
          <w:sz w:val="23"/>
          <w:szCs w:val="23"/>
          <w:lang w:eastAsia="es-ES"/>
        </w:rPr>
        <w:t>); (</w:t>
      </w:r>
      <w:r w:rsidRPr="00437BB2">
        <w:rPr>
          <w:rFonts w:ascii="Roboto" w:eastAsia="Times New Roman" w:hAnsi="Roboto" w:cs="Helvetica"/>
          <w:color w:val="2F83E0"/>
          <w:sz w:val="23"/>
          <w:szCs w:val="23"/>
          <w:lang w:eastAsia="es-ES"/>
        </w:rPr>
        <w:t>Cotización en el Régimen Especial de Trabajadores Autónomos (RETA) año 2019</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la modificación de los tipos de cotización aplicables a los trabajadores autónomos del Régimen Especial de la Seguridad Social de los Trabajadores del Mar (</w:t>
      </w:r>
      <w:r w:rsidRPr="00437BB2">
        <w:rPr>
          <w:rFonts w:ascii="Roboto" w:eastAsia="Times New Roman" w:hAnsi="Roboto" w:cs="Helvetica"/>
          <w:color w:val="2F83E0"/>
          <w:sz w:val="23"/>
          <w:szCs w:val="23"/>
          <w:lang w:eastAsia="es-ES"/>
        </w:rPr>
        <w:t>art. 33-35</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 la actualización de las bases y tipos de </w:t>
      </w:r>
      <w:r w:rsidRPr="00437BB2">
        <w:rPr>
          <w:rFonts w:ascii="Roboto" w:eastAsia="Times New Roman" w:hAnsi="Roboto" w:cs="Helvetica"/>
          <w:color w:val="2F83E0"/>
          <w:sz w:val="23"/>
          <w:szCs w:val="23"/>
          <w:lang w:eastAsia="es-ES"/>
        </w:rPr>
        <w:t>cotización en los Sistemas Especiales para Empleados de Hogar</w:t>
      </w:r>
      <w:r w:rsidRPr="00437BB2">
        <w:rPr>
          <w:rFonts w:ascii="Roboto" w:eastAsia="Times New Roman" w:hAnsi="Roboto" w:cs="Helvetica"/>
          <w:color w:val="555555"/>
          <w:sz w:val="23"/>
          <w:szCs w:val="23"/>
          <w:lang w:eastAsia="es-ES"/>
        </w:rPr>
        <w:t xml:space="preserve"> (</w:t>
      </w:r>
      <w:r w:rsidRPr="00437BB2">
        <w:rPr>
          <w:rFonts w:ascii="Roboto" w:eastAsia="Times New Roman" w:hAnsi="Roboto" w:cs="Helvetica"/>
          <w:color w:val="2F83E0"/>
          <w:sz w:val="23"/>
          <w:szCs w:val="23"/>
          <w:lang w:eastAsia="es-ES"/>
        </w:rPr>
        <w:t>art. 14</w:t>
      </w:r>
      <w:r w:rsidRPr="00437BB2">
        <w:rPr>
          <w:rFonts w:ascii="Roboto" w:eastAsia="Times New Roman" w:hAnsi="Roboto" w:cs="Helvetica"/>
          <w:color w:val="555555"/>
          <w:sz w:val="23"/>
          <w:szCs w:val="23"/>
          <w:lang w:eastAsia="es-ES"/>
        </w:rPr>
        <w:t xml:space="preserve">), para Trabajadores por Cuenta Ajena </w:t>
      </w:r>
      <w:r w:rsidR="000A64F6" w:rsidRPr="00437BB2">
        <w:rPr>
          <w:rFonts w:ascii="Roboto" w:eastAsia="Times New Roman" w:hAnsi="Roboto" w:cs="Helvetica"/>
          <w:color w:val="555555"/>
          <w:sz w:val="23"/>
          <w:szCs w:val="23"/>
          <w:lang w:eastAsia="es-ES"/>
        </w:rPr>
        <w:t>Agrarios establecidos</w:t>
      </w:r>
      <w:r w:rsidRPr="00437BB2">
        <w:rPr>
          <w:rFonts w:ascii="Roboto" w:eastAsia="Times New Roman" w:hAnsi="Roboto" w:cs="Helvetica"/>
          <w:color w:val="555555"/>
          <w:sz w:val="23"/>
          <w:szCs w:val="23"/>
          <w:lang w:eastAsia="es-ES"/>
        </w:rPr>
        <w:t xml:space="preserve"> ambos en el Régimen General de la Seguridad Social (art. 33), y en el Sistema Especial para Trabajadores por Cuenta Propia Agrarios establecido en el Régimen Especial de la Seguridad Social de los Trabajadores por Cuenta Propia o Autónomos (</w:t>
      </w:r>
      <w:r w:rsidRPr="00437BB2">
        <w:rPr>
          <w:rFonts w:ascii="Roboto" w:eastAsia="Times New Roman" w:hAnsi="Roboto" w:cs="Helvetica"/>
          <w:color w:val="2F83E0"/>
          <w:sz w:val="23"/>
          <w:szCs w:val="23"/>
          <w:lang w:eastAsia="es-ES"/>
        </w:rPr>
        <w:t>art. 35</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la extensión a los trabajadores autónomos agrarios los beneficios en la cotización previstos en la tarifa plana de los trabajadores por cuenta propia;</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la modificación de la cotización en el Sistema Especial para manipulado y empaquetado del tomate fresco con destino a la exportación (</w:t>
      </w:r>
      <w:r w:rsidRPr="00437BB2">
        <w:rPr>
          <w:rFonts w:ascii="Roboto" w:eastAsia="Times New Roman" w:hAnsi="Roboto" w:cs="Helvetica"/>
          <w:color w:val="2F83E0"/>
          <w:sz w:val="23"/>
          <w:szCs w:val="23"/>
          <w:lang w:eastAsia="es-ES"/>
        </w:rPr>
        <w:t>art. 12</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 la modificación de la disposición adicional cuarta de la </w:t>
      </w:r>
      <w:r w:rsidRPr="00437BB2">
        <w:rPr>
          <w:rFonts w:ascii="Roboto" w:eastAsia="Times New Roman" w:hAnsi="Roboto" w:cs="Helvetica"/>
          <w:color w:val="2F83E0"/>
          <w:sz w:val="23"/>
          <w:szCs w:val="23"/>
          <w:lang w:eastAsia="es-ES"/>
        </w:rPr>
        <w:t>Ley 42/2006, de 28 de diciembre</w:t>
      </w:r>
      <w:r w:rsidRPr="00437BB2">
        <w:rPr>
          <w:rFonts w:ascii="Roboto" w:eastAsia="Times New Roman" w:hAnsi="Roboto" w:cs="Helvetica"/>
          <w:color w:val="555555"/>
          <w:sz w:val="23"/>
          <w:szCs w:val="23"/>
          <w:lang w:eastAsia="es-ES"/>
        </w:rPr>
        <w:t xml:space="preserve">, de Presupuestos Generales del Estado para 2007, por la que se fija la </w:t>
      </w:r>
      <w:r w:rsidRPr="00437BB2">
        <w:rPr>
          <w:rFonts w:ascii="Roboto" w:eastAsia="Times New Roman" w:hAnsi="Roboto" w:cs="Helvetica"/>
          <w:color w:val="2F83E0"/>
          <w:sz w:val="23"/>
          <w:szCs w:val="23"/>
          <w:lang w:eastAsia="es-ES"/>
        </w:rPr>
        <w:t>tarifa para la cotización por accidentes de trabajo y enfermedades profesionales.</w:t>
      </w:r>
      <w:r w:rsidRPr="00437BB2">
        <w:rPr>
          <w:rFonts w:ascii="Roboto" w:eastAsia="Times New Roman" w:hAnsi="Roboto" w:cs="Helvetica"/>
          <w:color w:val="555555"/>
          <w:sz w:val="23"/>
          <w:szCs w:val="23"/>
          <w:lang w:eastAsia="es-ES"/>
        </w:rPr>
        <w:t> (se entienden realizadas a la modificación sobre la misma realizada por el Real Decreto-ley 28/2018)</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se adaptan las bases de cotización establecidas con carácter general a los supuestos de contratos a tiempo parcial (</w:t>
      </w:r>
      <w:r w:rsidRPr="00437BB2">
        <w:rPr>
          <w:rFonts w:ascii="Roboto" w:eastAsia="Times New Roman" w:hAnsi="Roboto" w:cs="Helvetica"/>
          <w:color w:val="2F83E0"/>
          <w:sz w:val="23"/>
          <w:szCs w:val="23"/>
          <w:lang w:eastAsia="es-ES"/>
        </w:rPr>
        <w:t>art. 36</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se fijan los coeficientes aplicables para determinar la cotización a la Seguridad Social en supuestos específicos, como son los de convenio especial (</w:t>
      </w:r>
      <w:r w:rsidRPr="00437BB2">
        <w:rPr>
          <w:rFonts w:ascii="Roboto" w:eastAsia="Times New Roman" w:hAnsi="Roboto" w:cs="Helvetica"/>
          <w:color w:val="2F83E0"/>
          <w:sz w:val="23"/>
          <w:szCs w:val="23"/>
          <w:lang w:eastAsia="es-ES"/>
        </w:rPr>
        <w:t>art. 36</w:t>
      </w:r>
      <w:r w:rsidRPr="00437BB2">
        <w:rPr>
          <w:rFonts w:ascii="Roboto" w:eastAsia="Times New Roman" w:hAnsi="Roboto" w:cs="Helvetica"/>
          <w:color w:val="555555"/>
          <w:sz w:val="23"/>
          <w:szCs w:val="23"/>
          <w:lang w:eastAsia="es-ES"/>
        </w:rPr>
        <w:t>), colaboración en la gestión de la Seguridad Social o exclusión de alguna contingencia (</w:t>
      </w:r>
      <w:r w:rsidRPr="00437BB2">
        <w:rPr>
          <w:rFonts w:ascii="Roboto" w:eastAsia="Times New Roman" w:hAnsi="Roboto" w:cs="Helvetica"/>
          <w:color w:val="2F83E0"/>
          <w:sz w:val="23"/>
          <w:szCs w:val="23"/>
          <w:lang w:eastAsia="es-ES"/>
        </w:rPr>
        <w:t>art. 19</w:t>
      </w:r>
      <w:r w:rsidRPr="00437BB2">
        <w:rPr>
          <w:rFonts w:ascii="Roboto" w:eastAsia="Times New Roman" w:hAnsi="Roboto" w:cs="Helvetica"/>
          <w:color w:val="555555"/>
          <w:sz w:val="23"/>
          <w:szCs w:val="23"/>
          <w:lang w:eastAsia="es-ES"/>
        </w:rPr>
        <w:t>);</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se establece la posibilidad de que los artistas en espectáculos públicos para continuar incluidos en el Régimen General de la Seguridad Social durante sus periodos de inactividad, efectuándose durante esta situación una cotización en los términos previstos en la norma (art.10).</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Bases y tipos de cotización al Régimen General Seguridad Social para 2019</w:t>
      </w:r>
    </w:p>
    <w:p w:rsidR="00437BB2" w:rsidRPr="00437BB2" w:rsidRDefault="00437BB2" w:rsidP="00437BB2">
      <w:pPr>
        <w:shd w:val="clear" w:color="auto" w:fill="FFFFFF"/>
        <w:spacing w:after="0" w:line="0" w:lineRule="auto"/>
        <w:jc w:val="both"/>
        <w:rPr>
          <w:rFonts w:ascii="Roboto" w:eastAsia="Times New Roman" w:hAnsi="Roboto" w:cs="Helvetica"/>
          <w:color w:val="555555"/>
          <w:sz w:val="2"/>
          <w:szCs w:val="2"/>
          <w:lang w:eastAsia="es-ES"/>
        </w:rPr>
      </w:pPr>
      <w:r w:rsidRPr="00437BB2">
        <w:rPr>
          <w:rFonts w:ascii="Roboto" w:eastAsia="Times New Roman" w:hAnsi="Roboto" w:cs="Helvetica"/>
          <w:color w:val="555555"/>
          <w:sz w:val="2"/>
          <w:szCs w:val="2"/>
          <w:bdr w:val="none" w:sz="0" w:space="0" w:color="auto" w:frame="1"/>
          <w:lang w:eastAsia="es-ES"/>
        </w:rPr>
        <w:t>AddThis Sharing Buttons</w:t>
      </w:r>
    </w:p>
    <w:p w:rsidR="00437BB2" w:rsidRPr="00437BB2" w:rsidRDefault="00437BB2" w:rsidP="00437BB2">
      <w:pPr>
        <w:shd w:val="clear" w:color="auto" w:fill="FFFFFF"/>
        <w:spacing w:after="0" w:line="0" w:lineRule="auto"/>
        <w:jc w:val="both"/>
        <w:rPr>
          <w:rFonts w:ascii="Roboto" w:eastAsia="Times New Roman" w:hAnsi="Roboto" w:cs="Helvetica"/>
          <w:color w:val="555555"/>
          <w:sz w:val="2"/>
          <w:szCs w:val="2"/>
          <w:lang w:eastAsia="es-ES"/>
        </w:rPr>
      </w:pPr>
      <w:r w:rsidRPr="00437BB2">
        <w:rPr>
          <w:rFonts w:ascii="Roboto" w:eastAsia="Times New Roman" w:hAnsi="Roboto" w:cs="Helvetica"/>
          <w:color w:val="555555"/>
          <w:sz w:val="2"/>
          <w:szCs w:val="2"/>
          <w:bdr w:val="none" w:sz="0" w:space="0" w:color="auto" w:frame="1"/>
          <w:lang w:eastAsia="es-ES"/>
        </w:rPr>
        <w:t>Share to Facebook</w:t>
      </w:r>
      <w:r w:rsidRPr="00437BB2">
        <w:rPr>
          <w:rFonts w:ascii="Roboto" w:eastAsia="Times New Roman" w:hAnsi="Roboto" w:cs="Helvetica"/>
          <w:color w:val="FFFFFF"/>
          <w:sz w:val="17"/>
          <w:szCs w:val="17"/>
          <w:lang w:eastAsia="es-ES"/>
        </w:rPr>
        <w:t>66</w:t>
      </w:r>
      <w:r w:rsidRPr="00437BB2">
        <w:rPr>
          <w:rFonts w:ascii="Roboto" w:eastAsia="Times New Roman" w:hAnsi="Roboto" w:cs="Helvetica"/>
          <w:color w:val="555555"/>
          <w:sz w:val="2"/>
          <w:szCs w:val="2"/>
          <w:bdr w:val="none" w:sz="0" w:space="0" w:color="auto" w:frame="1"/>
          <w:lang w:eastAsia="es-ES"/>
        </w:rPr>
        <w:t>Share to TwitterShare to LinkedInShare to WhatsAppShare to Más...</w:t>
      </w:r>
      <w:r w:rsidRPr="00437BB2">
        <w:rPr>
          <w:rFonts w:ascii="Roboto" w:eastAsia="Times New Roman" w:hAnsi="Roboto" w:cs="Helvetica"/>
          <w:color w:val="FFFFFF"/>
          <w:sz w:val="17"/>
          <w:szCs w:val="17"/>
          <w:lang w:eastAsia="es-ES"/>
        </w:rPr>
        <w:t>109</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
        <w:gridCol w:w="4209"/>
        <w:gridCol w:w="1390"/>
        <w:gridCol w:w="1417"/>
      </w:tblGrid>
      <w:tr w:rsidR="00437BB2" w:rsidRPr="00437BB2" w:rsidTr="00437BB2">
        <w:trPr>
          <w:tblHeade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Grupo de cotización</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Categorías profesionales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Bases mínimas</w:t>
            </w:r>
          </w:p>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w:t>
            </w:r>
          </w:p>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Euros/mes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Bases máximas</w:t>
            </w:r>
          </w:p>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w:t>
            </w:r>
          </w:p>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Euros/mes</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Ingenieros y Licenciados. Personal de alta dirección no incluido en el artículo 1.3.c) del </w:t>
            </w:r>
            <w:r w:rsidRPr="00437BB2">
              <w:rPr>
                <w:rFonts w:ascii="Roboto" w:eastAsia="Times New Roman" w:hAnsi="Roboto" w:cs="Helvetica"/>
                <w:color w:val="2F83E0"/>
                <w:sz w:val="23"/>
                <w:szCs w:val="23"/>
                <w:lang w:eastAsia="es-ES"/>
              </w:rPr>
              <w:t>Estatuto de los Trabajadores</w:t>
            </w:r>
            <w:r w:rsidRPr="00437BB2">
              <w:rPr>
                <w:rFonts w:ascii="Roboto" w:eastAsia="Times New Roman" w:hAnsi="Roboto" w:cs="Helvetica"/>
                <w:color w:val="555555"/>
                <w:sz w:val="23"/>
                <w:szCs w:val="23"/>
                <w:lang w:eastAsia="es-ES"/>
              </w:rPr>
              <w:t>.</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1.466,40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2</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Ingenieros Técnicos, Peritos y Ayudantes Titulados.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1.215,90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3</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Jefes Administrativos y de Taller.</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1.057,80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Ayudantes no Titulados.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5</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Oficiales Administrativos.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6</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Subalternos.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7</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Auxiliares Administrativos.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1.050,00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4.070,10</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8</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Oficiales de primera y segunda.</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35,00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135,67</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9</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Oficiales de tercera y Especialistas.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35,00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135,67</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Peones.</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35,00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135,67</w:t>
            </w:r>
          </w:p>
        </w:tc>
      </w:tr>
      <w:tr w:rsidR="00437BB2" w:rsidRPr="00437BB2" w:rsidTr="00437BB2">
        <w:trPr>
          <w:tblCellSpacing w:w="15" w:type="dxa"/>
        </w:trPr>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11</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Trabajadores menores de dieciocho años, cualquiera que sea su categoría profesional.</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35,00</w:t>
            </w:r>
          </w:p>
        </w:tc>
        <w:tc>
          <w:tcPr>
            <w:tcW w:w="0" w:type="auto"/>
            <w:tcBorders>
              <w:top w:val="single" w:sz="12" w:space="0" w:color="D2D2D2"/>
              <w:left w:val="single" w:sz="12" w:space="0" w:color="D2D2D2"/>
              <w:bottom w:val="single" w:sz="12" w:space="0" w:color="D2D2D2"/>
              <w:right w:val="single" w:sz="12" w:space="0" w:color="D2D2D2"/>
            </w:tcBorders>
            <w:shd w:val="clear" w:color="auto" w:fill="FFFFFF"/>
            <w:hideMark/>
          </w:tcPr>
          <w:p w:rsidR="00437BB2" w:rsidRPr="00437BB2" w:rsidRDefault="00437BB2" w:rsidP="00437BB2">
            <w:pPr>
              <w:spacing w:before="45" w:after="45" w:line="240" w:lineRule="auto"/>
              <w:ind w:left="45" w:right="4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135,67</w:t>
            </w:r>
          </w:p>
        </w:tc>
      </w:tr>
    </w:tbl>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Tipos de cotización.</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A partir de 1 de enero de 2019, los tipos de cotización al Régimen General serán los siguientes:</w:t>
      </w:r>
    </w:p>
    <w:p w:rsidR="00437BB2" w:rsidRPr="00437BB2" w:rsidRDefault="00437BB2" w:rsidP="00437BB2">
      <w:pPr>
        <w:numPr>
          <w:ilvl w:val="0"/>
          <w:numId w:val="3"/>
        </w:numPr>
        <w:shd w:val="clear" w:color="auto" w:fill="FFFFFF"/>
        <w:spacing w:before="100" w:beforeAutospacing="1" w:after="100" w:afterAutospacing="1" w:line="240" w:lineRule="auto"/>
        <w:ind w:left="49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a) Para las contingencias comunes, el 28,30 por ciento, del que el 23,60 por ciento será a cargo de la empresa y el 4,70 por ciento a cargo del trabajador.</w:t>
      </w:r>
    </w:p>
    <w:p w:rsidR="00437BB2" w:rsidRPr="00437BB2" w:rsidRDefault="00437BB2" w:rsidP="00437BB2">
      <w:pPr>
        <w:numPr>
          <w:ilvl w:val="0"/>
          <w:numId w:val="4"/>
        </w:numPr>
        <w:shd w:val="clear" w:color="auto" w:fill="FFFFFF"/>
        <w:spacing w:before="100" w:beforeAutospacing="1" w:after="100" w:afterAutospacing="1" w:line="240" w:lineRule="auto"/>
        <w:ind w:left="495"/>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b) Para las contingencias de accidentes de trabajo y enfermedades profesionales se aplicarán los tipos de la tarifa de primas establecida en la disposición adicional cuarta de la </w:t>
      </w:r>
      <w:r w:rsidRPr="00437BB2">
        <w:rPr>
          <w:rFonts w:ascii="Roboto" w:eastAsia="Times New Roman" w:hAnsi="Roboto" w:cs="Helvetica"/>
          <w:color w:val="2F83E0"/>
          <w:sz w:val="23"/>
          <w:szCs w:val="23"/>
          <w:lang w:eastAsia="es-ES"/>
        </w:rPr>
        <w:t>Ley 42/2006, de 28 de diciembre</w:t>
      </w:r>
      <w:r w:rsidRPr="00437BB2">
        <w:rPr>
          <w:rFonts w:ascii="Roboto" w:eastAsia="Times New Roman" w:hAnsi="Roboto" w:cs="Helvetica"/>
          <w:color w:val="555555"/>
          <w:sz w:val="23"/>
          <w:szCs w:val="23"/>
          <w:lang w:eastAsia="es-ES"/>
        </w:rPr>
        <w:t>, de Presupuestos Generales del Estado para el año 2007, siendo las primas resultantes a cargo exclusivo de la empresa.</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En el caso de empresas que ocupen a trabajadores a quienes en razón de su actividad les resulte de aplicación un coeficiente reductor de la edad de jubilación, se aplicará el tipo de cotización por accidentes de trabajo y enfermedades profesionales más alto de los establecidos en dicha tarifa de primas, siempre y cuando el establecimiento de ese coeficiente reductor no lleve aparejada una cotización adicional por tal concepto.</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Lo previsto en el párrafo anterior no será de aplicación a las empresas que ocupen a trabajadores incluidos en el ámbito de aplicación del </w:t>
      </w:r>
      <w:r w:rsidRPr="00437BB2">
        <w:rPr>
          <w:rFonts w:ascii="Roboto" w:eastAsia="Times New Roman" w:hAnsi="Roboto" w:cs="Helvetica"/>
          <w:color w:val="2F83E0"/>
          <w:sz w:val="23"/>
          <w:szCs w:val="23"/>
          <w:lang w:eastAsia="es-ES"/>
        </w:rPr>
        <w:t>Real Decreto 1539/2003, de 5 de diciembre</w:t>
      </w:r>
      <w:r w:rsidRPr="00437BB2">
        <w:rPr>
          <w:rFonts w:ascii="Roboto" w:eastAsia="Times New Roman" w:hAnsi="Roboto" w:cs="Helvetica"/>
          <w:color w:val="555555"/>
          <w:sz w:val="23"/>
          <w:szCs w:val="23"/>
          <w:lang w:eastAsia="es-ES"/>
        </w:rPr>
        <w:t>, por el que se establecen coeficientes reductores de la edad de jubilación a favor de los trabajadores que acreditan un grado importante de discapacidad.</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Coeficientes aplicables a las empresas autorizadas a colaborar voluntariamente en la gestión de la Seguridad Social.</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Siguiendo lo tratado en la entrada de nuestra revista del 7 de enero de 2019 «</w:t>
      </w:r>
      <w:r w:rsidRPr="00437BB2">
        <w:rPr>
          <w:rFonts w:ascii="Roboto" w:eastAsia="Times New Roman" w:hAnsi="Roboto" w:cs="Helvetica"/>
          <w:color w:val="2F83E0"/>
          <w:sz w:val="23"/>
          <w:szCs w:val="23"/>
          <w:lang w:eastAsia="es-ES"/>
        </w:rPr>
        <w:t>Extinción de la colaboración voluntaria de las empresas en la gestión de la Seguridad Social: pago de las prestaciones por IT derivada de enfermedad común o accidente no labora</w:t>
      </w:r>
      <w:r w:rsidRPr="00437BB2">
        <w:rPr>
          <w:rFonts w:ascii="Roboto" w:eastAsia="Times New Roman" w:hAnsi="Roboto" w:cs="Helvetica"/>
          <w:color w:val="555555"/>
          <w:sz w:val="23"/>
          <w:szCs w:val="23"/>
          <w:lang w:eastAsia="es-ES"/>
        </w:rPr>
        <w:t xml:space="preserve">l», desde el día 1 de enero de 2019, el coeficiente reductor aplicable a las empresas que a 31 de diciembre de 2018 estuvieran autorizadas para colaborar voluntariamente en la gestión de la prestación económica de incapacidad temporal derivada de enfermedad común o accidente no laboral, en la modalidad prevista en el artículo </w:t>
      </w:r>
      <w:r w:rsidRPr="00437BB2">
        <w:rPr>
          <w:rFonts w:ascii="Roboto" w:eastAsia="Times New Roman" w:hAnsi="Roboto" w:cs="Helvetica"/>
          <w:color w:val="2F83E0"/>
          <w:sz w:val="23"/>
          <w:szCs w:val="23"/>
          <w:lang w:eastAsia="es-ES"/>
        </w:rPr>
        <w:t>102.1</w:t>
      </w:r>
      <w:r w:rsidRPr="00437BB2">
        <w:rPr>
          <w:rFonts w:ascii="Roboto" w:eastAsia="Times New Roman" w:hAnsi="Roboto" w:cs="Helvetica"/>
          <w:color w:val="555555"/>
          <w:sz w:val="23"/>
          <w:szCs w:val="23"/>
          <w:lang w:eastAsia="es-ES"/>
        </w:rPr>
        <w:t xml:space="preserve">.b) del texto refundido de la </w:t>
      </w:r>
      <w:r w:rsidRPr="00437BB2">
        <w:rPr>
          <w:rFonts w:ascii="Roboto" w:eastAsia="Times New Roman" w:hAnsi="Roboto" w:cs="Helvetica"/>
          <w:color w:val="2F83E0"/>
          <w:sz w:val="23"/>
          <w:szCs w:val="23"/>
          <w:lang w:eastAsia="es-ES"/>
        </w:rPr>
        <w:t>Ley General de la Seguridad Social</w:t>
      </w:r>
      <w:r w:rsidRPr="00437BB2">
        <w:rPr>
          <w:rFonts w:ascii="Roboto" w:eastAsia="Times New Roman" w:hAnsi="Roboto" w:cs="Helvetica"/>
          <w:color w:val="555555"/>
          <w:sz w:val="23"/>
          <w:szCs w:val="23"/>
          <w:lang w:eastAsia="es-ES"/>
        </w:rPr>
        <w:t xml:space="preserve"> vigente en dicha fecha, será el 0,045 sobre la cuota que les correspondería satisfacer de no existir la colaboración.</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Lo dispuesto en el párrafo anterior se aplicará exclusivamente entre el 1 de enero y el 31 de marzo de 2019, fecha a partir de la cual dejará de tener vigencia esta modalidad de colaboración voluntaria tras la supresión de la misma llevada a cabo por la disposición final segunda del </w:t>
      </w:r>
      <w:r w:rsidRPr="00437BB2">
        <w:rPr>
          <w:rFonts w:ascii="Roboto" w:eastAsia="Times New Roman" w:hAnsi="Roboto" w:cs="Helvetica"/>
          <w:color w:val="2F83E0"/>
          <w:sz w:val="23"/>
          <w:szCs w:val="23"/>
          <w:lang w:eastAsia="es-ES"/>
        </w:rPr>
        <w:t>Real Decreto-ley 28/2018, de 28 de diciembre</w:t>
      </w:r>
      <w:r w:rsidRPr="00437BB2">
        <w:rPr>
          <w:rFonts w:ascii="Roboto" w:eastAsia="Times New Roman" w:hAnsi="Roboto" w:cs="Helvetica"/>
          <w:color w:val="555555"/>
          <w:sz w:val="23"/>
          <w:szCs w:val="23"/>
          <w:lang w:eastAsia="es-ES"/>
        </w:rPr>
        <w:t>, conforme a los efectos previstos en su disposición transitoria cuarta.</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Temas pendientes</w:t>
      </w:r>
    </w:p>
    <w:p w:rsidR="00437BB2" w:rsidRPr="00437BB2" w:rsidRDefault="00437BB2" w:rsidP="00437BB2">
      <w:pPr>
        <w:numPr>
          <w:ilvl w:val="0"/>
          <w:numId w:val="5"/>
        </w:numPr>
        <w:shd w:val="clear" w:color="auto" w:fill="FFFFFF"/>
        <w:spacing w:before="100" w:beforeAutospacing="1" w:after="100" w:afterAutospacing="1" w:line="240" w:lineRule="auto"/>
        <w:ind w:left="495"/>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Cotización de las personas que realicen prácticas no laborales</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 xml:space="preserve">Siguiendo la regulación de otros años </w:t>
      </w:r>
      <w:r w:rsidRPr="00437BB2">
        <w:rPr>
          <w:rFonts w:ascii="Roboto" w:eastAsia="Times New Roman" w:hAnsi="Roboto" w:cs="Helvetica"/>
          <w:i/>
          <w:iCs/>
          <w:color w:val="555555"/>
          <w:sz w:val="23"/>
          <w:szCs w:val="23"/>
          <w:lang w:eastAsia="es-ES"/>
        </w:rPr>
        <w:t xml:space="preserve">[y sin referencia al futuro reglamento que ha de confeccionarse en el plazo de tres meses desde el 1 de enero de 2019 por el que las personas que realicen </w:t>
      </w:r>
      <w:r w:rsidRPr="00437BB2">
        <w:rPr>
          <w:rFonts w:ascii="Roboto" w:eastAsia="Times New Roman" w:hAnsi="Roboto" w:cs="Helvetica"/>
          <w:i/>
          <w:iCs/>
          <w:color w:val="2F83E0"/>
          <w:sz w:val="23"/>
          <w:szCs w:val="23"/>
          <w:lang w:eastAsia="es-ES"/>
        </w:rPr>
        <w:t>prácticas no laborales en empresas o prácticas académicas externas</w:t>
      </w:r>
      <w:r w:rsidRPr="00437BB2">
        <w:rPr>
          <w:rFonts w:ascii="Roboto" w:eastAsia="Times New Roman" w:hAnsi="Roboto" w:cs="Helvetica"/>
          <w:b/>
          <w:bCs/>
          <w:i/>
          <w:iCs/>
          <w:color w:val="555555"/>
          <w:sz w:val="23"/>
          <w:szCs w:val="23"/>
          <w:lang w:eastAsia="es-ES"/>
        </w:rPr>
        <w:t> </w:t>
      </w:r>
      <w:r w:rsidRPr="00437BB2">
        <w:rPr>
          <w:rFonts w:ascii="Roboto" w:eastAsia="Times New Roman" w:hAnsi="Roboto" w:cs="Helvetica"/>
          <w:i/>
          <w:iCs/>
          <w:color w:val="555555"/>
          <w:sz w:val="23"/>
          <w:szCs w:val="23"/>
          <w:lang w:eastAsia="es-ES"/>
        </w:rPr>
        <w:t>- tanto alumnos universitarios de titulaciones oficiales de grado y máster como alumnos de formación profesional de grado medio o superior- quedarán comprendidas en el Régimen General de la Seguridad Social, como asimiladas a trabajadores por cuenta ajena, con exclusión de la protección por desempleo</w:t>
      </w:r>
      <w:r w:rsidRPr="00437BB2">
        <w:rPr>
          <w:rFonts w:ascii="Roboto" w:eastAsia="Times New Roman" w:hAnsi="Roboto" w:cs="Helvetica"/>
          <w:color w:val="555555"/>
          <w:sz w:val="23"/>
          <w:szCs w:val="23"/>
          <w:lang w:eastAsia="es-ES"/>
        </w:rPr>
        <w:t xml:space="preserve">], se establece un cotización siguiendo las premisas para la cotización en los contratos para la formación y el aprendizaje para efectuar la cotización de las personas que realicen prácticas no laborales al amparo de lo dispuesto en el </w:t>
      </w:r>
      <w:r w:rsidRPr="00437BB2">
        <w:rPr>
          <w:rFonts w:ascii="Roboto" w:eastAsia="Times New Roman" w:hAnsi="Roboto" w:cs="Helvetica"/>
          <w:color w:val="2F83E0"/>
          <w:sz w:val="23"/>
          <w:szCs w:val="23"/>
          <w:lang w:eastAsia="es-ES"/>
        </w:rPr>
        <w:t>Real Decreto 1543/2011, de 31 de octubre</w:t>
      </w:r>
      <w:r w:rsidRPr="00437BB2">
        <w:rPr>
          <w:rFonts w:ascii="Roboto" w:eastAsia="Times New Roman" w:hAnsi="Roboto" w:cs="Helvetica"/>
          <w:color w:val="555555"/>
          <w:sz w:val="23"/>
          <w:szCs w:val="23"/>
          <w:lang w:eastAsia="es-ES"/>
        </w:rPr>
        <w:t>, por el que se regulan las prácticas no laborales en empresas.</w:t>
      </w:r>
    </w:p>
    <w:p w:rsidR="00437BB2" w:rsidRPr="00437BB2" w:rsidRDefault="00437BB2" w:rsidP="00437BB2">
      <w:pPr>
        <w:numPr>
          <w:ilvl w:val="0"/>
          <w:numId w:val="6"/>
        </w:numPr>
        <w:shd w:val="clear" w:color="auto" w:fill="FFFFFF"/>
        <w:spacing w:before="100" w:beforeAutospacing="1" w:after="100" w:afterAutospacing="1" w:line="240" w:lineRule="auto"/>
        <w:ind w:left="495"/>
        <w:jc w:val="both"/>
        <w:rPr>
          <w:rFonts w:ascii="Roboto" w:eastAsia="Times New Roman" w:hAnsi="Roboto" w:cs="Helvetica"/>
          <w:color w:val="555555"/>
          <w:sz w:val="23"/>
          <w:szCs w:val="23"/>
          <w:lang w:eastAsia="es-ES"/>
        </w:rPr>
      </w:pPr>
      <w:r w:rsidRPr="00437BB2">
        <w:rPr>
          <w:rFonts w:ascii="Roboto" w:eastAsia="Times New Roman" w:hAnsi="Roboto" w:cs="Helvetica"/>
          <w:b/>
          <w:bCs/>
          <w:color w:val="555555"/>
          <w:sz w:val="23"/>
          <w:szCs w:val="23"/>
          <w:lang w:eastAsia="es-ES"/>
        </w:rPr>
        <w:t>Cotización de los autónomos por los ingresos realmente percibidos</w:t>
      </w:r>
    </w:p>
    <w:p w:rsidR="00437BB2" w:rsidRPr="00437BB2" w:rsidRDefault="00437BB2" w:rsidP="00437BB2">
      <w:pPr>
        <w:shd w:val="clear" w:color="auto" w:fill="FFFFFF"/>
        <w:spacing w:after="150" w:line="240" w:lineRule="auto"/>
        <w:jc w:val="both"/>
        <w:rPr>
          <w:rFonts w:ascii="Roboto" w:eastAsia="Times New Roman" w:hAnsi="Roboto" w:cs="Helvetica"/>
          <w:color w:val="555555"/>
          <w:sz w:val="23"/>
          <w:szCs w:val="23"/>
          <w:lang w:eastAsia="es-ES"/>
        </w:rPr>
      </w:pPr>
      <w:r w:rsidRPr="00437BB2">
        <w:rPr>
          <w:rFonts w:ascii="Roboto" w:eastAsia="Times New Roman" w:hAnsi="Roboto" w:cs="Helvetica"/>
          <w:color w:val="555555"/>
          <w:sz w:val="23"/>
          <w:szCs w:val="23"/>
          <w:lang w:eastAsia="es-ES"/>
        </w:rPr>
        <w:t>En la Orden, sólo encontramos una pequeña referencia en el preámbulo de la futura noma al actual régimen transitorio de cotización en el RETA hacia un sistema de elección de bases por los interesados a su determinación por el importe de los ingresos realmente percibidos, como ocurre en el Régimen General de la Seguridad Social, pero sin mayores especificaciones.</w:t>
      </w:r>
      <w:bookmarkStart w:id="0" w:name="_GoBack"/>
      <w:bookmarkEnd w:id="0"/>
    </w:p>
    <w:p w:rsidR="00437BB2" w:rsidRDefault="00437BB2" w:rsidP="00437BB2">
      <w:pPr>
        <w:jc w:val="both"/>
      </w:pPr>
    </w:p>
    <w:p w:rsidR="00437BB2" w:rsidRDefault="00437BB2" w:rsidP="00437BB2">
      <w:pPr>
        <w:jc w:val="both"/>
      </w:pPr>
    </w:p>
    <w:sectPr w:rsidR="00437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jeri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BB2"/>
    <w:multiLevelType w:val="multilevel"/>
    <w:tmpl w:val="59E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B5BE6"/>
    <w:multiLevelType w:val="multilevel"/>
    <w:tmpl w:val="8AC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A3CF0"/>
    <w:multiLevelType w:val="multilevel"/>
    <w:tmpl w:val="055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11F68"/>
    <w:multiLevelType w:val="multilevel"/>
    <w:tmpl w:val="FAA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42E52"/>
    <w:multiLevelType w:val="multilevel"/>
    <w:tmpl w:val="8BF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D1789"/>
    <w:multiLevelType w:val="multilevel"/>
    <w:tmpl w:val="108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52E36"/>
    <w:multiLevelType w:val="multilevel"/>
    <w:tmpl w:val="216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16"/>
    <w:rsid w:val="000A64F6"/>
    <w:rsid w:val="00374580"/>
    <w:rsid w:val="003D00EE"/>
    <w:rsid w:val="00437BB2"/>
    <w:rsid w:val="00940258"/>
    <w:rsid w:val="009A0316"/>
    <w:rsid w:val="00A56D2F"/>
    <w:rsid w:val="00CA3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0FB2-32D8-48B3-8C7C-9F546162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7420">
      <w:bodyDiv w:val="1"/>
      <w:marLeft w:val="0"/>
      <w:marRight w:val="0"/>
      <w:marTop w:val="0"/>
      <w:marBottom w:val="0"/>
      <w:divBdr>
        <w:top w:val="none" w:sz="0" w:space="0" w:color="auto"/>
        <w:left w:val="none" w:sz="0" w:space="0" w:color="auto"/>
        <w:bottom w:val="none" w:sz="0" w:space="0" w:color="auto"/>
        <w:right w:val="none" w:sz="0" w:space="0" w:color="auto"/>
      </w:divBdr>
      <w:divsChild>
        <w:div w:id="348917401">
          <w:marLeft w:val="0"/>
          <w:marRight w:val="0"/>
          <w:marTop w:val="0"/>
          <w:marBottom w:val="0"/>
          <w:divBdr>
            <w:top w:val="none" w:sz="0" w:space="0" w:color="auto"/>
            <w:left w:val="none" w:sz="0" w:space="0" w:color="auto"/>
            <w:bottom w:val="none" w:sz="0" w:space="0" w:color="auto"/>
            <w:right w:val="none" w:sz="0" w:space="0" w:color="auto"/>
          </w:divBdr>
          <w:divsChild>
            <w:div w:id="1590000626">
              <w:marLeft w:val="0"/>
              <w:marRight w:val="0"/>
              <w:marTop w:val="300"/>
              <w:marBottom w:val="0"/>
              <w:divBdr>
                <w:top w:val="none" w:sz="0" w:space="0" w:color="auto"/>
                <w:left w:val="none" w:sz="0" w:space="0" w:color="auto"/>
                <w:bottom w:val="none" w:sz="0" w:space="0" w:color="auto"/>
                <w:right w:val="none" w:sz="0" w:space="0" w:color="auto"/>
              </w:divBdr>
              <w:divsChild>
                <w:div w:id="700858230">
                  <w:marLeft w:val="-225"/>
                  <w:marRight w:val="-225"/>
                  <w:marTop w:val="0"/>
                  <w:marBottom w:val="0"/>
                  <w:divBdr>
                    <w:top w:val="none" w:sz="0" w:space="0" w:color="auto"/>
                    <w:left w:val="none" w:sz="0" w:space="0" w:color="auto"/>
                    <w:bottom w:val="none" w:sz="0" w:space="0" w:color="auto"/>
                    <w:right w:val="none" w:sz="0" w:space="0" w:color="auto"/>
                  </w:divBdr>
                  <w:divsChild>
                    <w:div w:id="1582566626">
                      <w:marLeft w:val="0"/>
                      <w:marRight w:val="0"/>
                      <w:marTop w:val="0"/>
                      <w:marBottom w:val="0"/>
                      <w:divBdr>
                        <w:top w:val="none" w:sz="0" w:space="0" w:color="auto"/>
                        <w:left w:val="none" w:sz="0" w:space="0" w:color="auto"/>
                        <w:bottom w:val="none" w:sz="0" w:space="0" w:color="auto"/>
                        <w:right w:val="none" w:sz="0" w:space="0" w:color="auto"/>
                      </w:divBdr>
                      <w:divsChild>
                        <w:div w:id="1965962736">
                          <w:marLeft w:val="0"/>
                          <w:marRight w:val="0"/>
                          <w:marTop w:val="0"/>
                          <w:marBottom w:val="0"/>
                          <w:divBdr>
                            <w:top w:val="none" w:sz="0" w:space="0" w:color="auto"/>
                            <w:left w:val="none" w:sz="0" w:space="0" w:color="auto"/>
                            <w:bottom w:val="none" w:sz="0" w:space="0" w:color="auto"/>
                            <w:right w:val="none" w:sz="0" w:space="0" w:color="auto"/>
                          </w:divBdr>
                          <w:divsChild>
                            <w:div w:id="336808157">
                              <w:marLeft w:val="0"/>
                              <w:marRight w:val="0"/>
                              <w:marTop w:val="0"/>
                              <w:marBottom w:val="0"/>
                              <w:divBdr>
                                <w:top w:val="none" w:sz="0" w:space="0" w:color="auto"/>
                                <w:left w:val="none" w:sz="0" w:space="0" w:color="auto"/>
                                <w:bottom w:val="none" w:sz="0" w:space="0" w:color="auto"/>
                                <w:right w:val="none" w:sz="0" w:space="0" w:color="auto"/>
                              </w:divBdr>
                              <w:divsChild>
                                <w:div w:id="60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8951">
                      <w:marLeft w:val="0"/>
                      <w:marRight w:val="0"/>
                      <w:marTop w:val="0"/>
                      <w:marBottom w:val="0"/>
                      <w:divBdr>
                        <w:top w:val="none" w:sz="0" w:space="0" w:color="auto"/>
                        <w:left w:val="none" w:sz="0" w:space="0" w:color="auto"/>
                        <w:bottom w:val="none" w:sz="0" w:space="0" w:color="auto"/>
                        <w:right w:val="none" w:sz="0" w:space="0" w:color="auto"/>
                      </w:divBdr>
                      <w:divsChild>
                        <w:div w:id="559168244">
                          <w:marLeft w:val="0"/>
                          <w:marRight w:val="0"/>
                          <w:marTop w:val="0"/>
                          <w:marBottom w:val="0"/>
                          <w:divBdr>
                            <w:top w:val="none" w:sz="0" w:space="0" w:color="auto"/>
                            <w:left w:val="none" w:sz="0" w:space="0" w:color="auto"/>
                            <w:bottom w:val="none" w:sz="0" w:space="0" w:color="auto"/>
                            <w:right w:val="none" w:sz="0" w:space="0" w:color="auto"/>
                          </w:divBdr>
                          <w:divsChild>
                            <w:div w:id="1340695401">
                              <w:marLeft w:val="0"/>
                              <w:marRight w:val="0"/>
                              <w:marTop w:val="0"/>
                              <w:marBottom w:val="0"/>
                              <w:divBdr>
                                <w:top w:val="none" w:sz="0" w:space="0" w:color="auto"/>
                                <w:left w:val="none" w:sz="0" w:space="0" w:color="auto"/>
                                <w:bottom w:val="none" w:sz="0" w:space="0" w:color="auto"/>
                                <w:right w:val="none" w:sz="0" w:space="0" w:color="auto"/>
                              </w:divBdr>
                            </w:div>
                            <w:div w:id="1672179517">
                              <w:marLeft w:val="0"/>
                              <w:marRight w:val="0"/>
                              <w:marTop w:val="0"/>
                              <w:marBottom w:val="0"/>
                              <w:divBdr>
                                <w:top w:val="none" w:sz="0" w:space="0" w:color="auto"/>
                                <w:left w:val="none" w:sz="0" w:space="0" w:color="auto"/>
                                <w:bottom w:val="none" w:sz="0" w:space="0" w:color="auto"/>
                                <w:right w:val="none" w:sz="0" w:space="0" w:color="auto"/>
                              </w:divBdr>
                              <w:divsChild>
                                <w:div w:id="502284474">
                                  <w:marLeft w:val="-225"/>
                                  <w:marRight w:val="-225"/>
                                  <w:marTop w:val="0"/>
                                  <w:marBottom w:val="0"/>
                                  <w:divBdr>
                                    <w:top w:val="none" w:sz="0" w:space="0" w:color="auto"/>
                                    <w:left w:val="none" w:sz="0" w:space="0" w:color="auto"/>
                                    <w:bottom w:val="none" w:sz="0" w:space="0" w:color="auto"/>
                                    <w:right w:val="none" w:sz="0" w:space="0" w:color="auto"/>
                                  </w:divBdr>
                                  <w:divsChild>
                                    <w:div w:id="1618679320">
                                      <w:marLeft w:val="0"/>
                                      <w:marRight w:val="0"/>
                                      <w:marTop w:val="0"/>
                                      <w:marBottom w:val="0"/>
                                      <w:divBdr>
                                        <w:top w:val="none" w:sz="0" w:space="0" w:color="auto"/>
                                        <w:left w:val="none" w:sz="0" w:space="0" w:color="auto"/>
                                        <w:bottom w:val="none" w:sz="0" w:space="0" w:color="auto"/>
                                        <w:right w:val="none" w:sz="0" w:space="0" w:color="auto"/>
                                      </w:divBdr>
                                    </w:div>
                                  </w:divsChild>
                                </w:div>
                                <w:div w:id="634215236">
                                  <w:marLeft w:val="-225"/>
                                  <w:marRight w:val="-225"/>
                                  <w:marTop w:val="0"/>
                                  <w:marBottom w:val="0"/>
                                  <w:divBdr>
                                    <w:top w:val="none" w:sz="0" w:space="0" w:color="auto"/>
                                    <w:left w:val="none" w:sz="0" w:space="0" w:color="auto"/>
                                    <w:bottom w:val="none" w:sz="0" w:space="0" w:color="auto"/>
                                    <w:right w:val="none" w:sz="0" w:space="0" w:color="auto"/>
                                  </w:divBdr>
                                  <w:divsChild>
                                    <w:div w:id="8576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4877">
                  <w:marLeft w:val="-225"/>
                  <w:marRight w:val="-225"/>
                  <w:marTop w:val="0"/>
                  <w:marBottom w:val="0"/>
                  <w:divBdr>
                    <w:top w:val="none" w:sz="0" w:space="0" w:color="auto"/>
                    <w:left w:val="none" w:sz="0" w:space="0" w:color="auto"/>
                    <w:bottom w:val="none" w:sz="0" w:space="0" w:color="auto"/>
                    <w:right w:val="none" w:sz="0" w:space="0" w:color="auto"/>
                  </w:divBdr>
                  <w:divsChild>
                    <w:div w:id="1502162723">
                      <w:marLeft w:val="0"/>
                      <w:marRight w:val="0"/>
                      <w:marTop w:val="0"/>
                      <w:marBottom w:val="0"/>
                      <w:divBdr>
                        <w:top w:val="none" w:sz="0" w:space="0" w:color="auto"/>
                        <w:left w:val="none" w:sz="0" w:space="0" w:color="auto"/>
                        <w:bottom w:val="none" w:sz="0" w:space="0" w:color="auto"/>
                        <w:right w:val="none" w:sz="0" w:space="0" w:color="auto"/>
                      </w:divBdr>
                      <w:divsChild>
                        <w:div w:id="1589459090">
                          <w:marLeft w:val="0"/>
                          <w:marRight w:val="0"/>
                          <w:marTop w:val="0"/>
                          <w:marBottom w:val="0"/>
                          <w:divBdr>
                            <w:top w:val="none" w:sz="0" w:space="0" w:color="auto"/>
                            <w:left w:val="none" w:sz="0" w:space="0" w:color="auto"/>
                            <w:bottom w:val="none" w:sz="0" w:space="0" w:color="auto"/>
                            <w:right w:val="none" w:sz="0" w:space="0" w:color="auto"/>
                          </w:divBdr>
                        </w:div>
                        <w:div w:id="321467044">
                          <w:marLeft w:val="0"/>
                          <w:marRight w:val="0"/>
                          <w:marTop w:val="0"/>
                          <w:marBottom w:val="0"/>
                          <w:divBdr>
                            <w:top w:val="none" w:sz="0" w:space="0" w:color="auto"/>
                            <w:left w:val="none" w:sz="0" w:space="0" w:color="auto"/>
                            <w:bottom w:val="none" w:sz="0" w:space="0" w:color="auto"/>
                            <w:right w:val="none" w:sz="0" w:space="0" w:color="auto"/>
                          </w:divBdr>
                          <w:divsChild>
                            <w:div w:id="1228304285">
                              <w:marLeft w:val="0"/>
                              <w:marRight w:val="0"/>
                              <w:marTop w:val="0"/>
                              <w:marBottom w:val="0"/>
                              <w:divBdr>
                                <w:top w:val="none" w:sz="0" w:space="0" w:color="auto"/>
                                <w:left w:val="none" w:sz="0" w:space="0" w:color="auto"/>
                                <w:bottom w:val="none" w:sz="0" w:space="0" w:color="auto"/>
                                <w:right w:val="none" w:sz="0" w:space="0" w:color="auto"/>
                              </w:divBdr>
                              <w:divsChild>
                                <w:div w:id="1530340057">
                                  <w:marLeft w:val="0"/>
                                  <w:marRight w:val="0"/>
                                  <w:marTop w:val="0"/>
                                  <w:marBottom w:val="0"/>
                                  <w:divBdr>
                                    <w:top w:val="none" w:sz="0" w:space="0" w:color="auto"/>
                                    <w:left w:val="none" w:sz="0" w:space="0" w:color="auto"/>
                                    <w:bottom w:val="none" w:sz="0" w:space="0" w:color="auto"/>
                                    <w:right w:val="none" w:sz="0" w:space="0" w:color="auto"/>
                                  </w:divBdr>
                                </w:div>
                                <w:div w:id="297493653">
                                  <w:marLeft w:val="0"/>
                                  <w:marRight w:val="0"/>
                                  <w:marTop w:val="0"/>
                                  <w:marBottom w:val="0"/>
                                  <w:divBdr>
                                    <w:top w:val="none" w:sz="0" w:space="0" w:color="auto"/>
                                    <w:left w:val="none" w:sz="0" w:space="0" w:color="auto"/>
                                    <w:bottom w:val="none" w:sz="0" w:space="0" w:color="auto"/>
                                    <w:right w:val="none" w:sz="0" w:space="0" w:color="auto"/>
                                  </w:divBdr>
                                  <w:divsChild>
                                    <w:div w:id="1260597722">
                                      <w:marLeft w:val="0"/>
                                      <w:marRight w:val="0"/>
                                      <w:marTop w:val="0"/>
                                      <w:marBottom w:val="0"/>
                                      <w:divBdr>
                                        <w:top w:val="none" w:sz="0" w:space="0" w:color="auto"/>
                                        <w:left w:val="none" w:sz="0" w:space="0" w:color="auto"/>
                                        <w:bottom w:val="none" w:sz="0" w:space="0" w:color="auto"/>
                                        <w:right w:val="none" w:sz="0" w:space="0" w:color="auto"/>
                                      </w:divBdr>
                                      <w:divsChild>
                                        <w:div w:id="1793786315">
                                          <w:marLeft w:val="-225"/>
                                          <w:marRight w:val="-225"/>
                                          <w:marTop w:val="0"/>
                                          <w:marBottom w:val="0"/>
                                          <w:divBdr>
                                            <w:top w:val="none" w:sz="0" w:space="0" w:color="auto"/>
                                            <w:left w:val="none" w:sz="0" w:space="0" w:color="auto"/>
                                            <w:bottom w:val="none" w:sz="0" w:space="0" w:color="auto"/>
                                            <w:right w:val="none" w:sz="0" w:space="0" w:color="auto"/>
                                          </w:divBdr>
                                          <w:divsChild>
                                            <w:div w:id="1170483806">
                                              <w:marLeft w:val="0"/>
                                              <w:marRight w:val="0"/>
                                              <w:marTop w:val="0"/>
                                              <w:marBottom w:val="0"/>
                                              <w:divBdr>
                                                <w:top w:val="none" w:sz="0" w:space="0" w:color="auto"/>
                                                <w:left w:val="none" w:sz="0" w:space="0" w:color="auto"/>
                                                <w:bottom w:val="none" w:sz="0" w:space="0" w:color="auto"/>
                                                <w:right w:val="none" w:sz="0" w:space="0" w:color="auto"/>
                                              </w:divBdr>
                                              <w:divsChild>
                                                <w:div w:id="521820358">
                                                  <w:marLeft w:val="0"/>
                                                  <w:marRight w:val="0"/>
                                                  <w:marTop w:val="0"/>
                                                  <w:marBottom w:val="0"/>
                                                  <w:divBdr>
                                                    <w:top w:val="none" w:sz="0" w:space="0" w:color="auto"/>
                                                    <w:left w:val="none" w:sz="0" w:space="0" w:color="auto"/>
                                                    <w:bottom w:val="none" w:sz="0" w:space="0" w:color="auto"/>
                                                    <w:right w:val="none" w:sz="0" w:space="0" w:color="auto"/>
                                                  </w:divBdr>
                                                  <w:divsChild>
                                                    <w:div w:id="1397970957">
                                                      <w:marLeft w:val="0"/>
                                                      <w:marRight w:val="0"/>
                                                      <w:marTop w:val="0"/>
                                                      <w:marBottom w:val="0"/>
                                                      <w:divBdr>
                                                        <w:top w:val="none" w:sz="0" w:space="0" w:color="auto"/>
                                                        <w:left w:val="none" w:sz="0" w:space="0" w:color="auto"/>
                                                        <w:bottom w:val="none" w:sz="0" w:space="0" w:color="auto"/>
                                                        <w:right w:val="none" w:sz="0" w:space="0" w:color="auto"/>
                                                      </w:divBdr>
                                                      <w:divsChild>
                                                        <w:div w:id="8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259879">
      <w:bodyDiv w:val="1"/>
      <w:marLeft w:val="0"/>
      <w:marRight w:val="0"/>
      <w:marTop w:val="0"/>
      <w:marBottom w:val="0"/>
      <w:divBdr>
        <w:top w:val="none" w:sz="0" w:space="0" w:color="auto"/>
        <w:left w:val="none" w:sz="0" w:space="0" w:color="auto"/>
        <w:bottom w:val="none" w:sz="0" w:space="0" w:color="auto"/>
        <w:right w:val="none" w:sz="0" w:space="0" w:color="auto"/>
      </w:divBdr>
      <w:divsChild>
        <w:div w:id="566963469">
          <w:marLeft w:val="0"/>
          <w:marRight w:val="0"/>
          <w:marTop w:val="0"/>
          <w:marBottom w:val="0"/>
          <w:divBdr>
            <w:top w:val="none" w:sz="0" w:space="0" w:color="auto"/>
            <w:left w:val="none" w:sz="0" w:space="0" w:color="auto"/>
            <w:bottom w:val="none" w:sz="0" w:space="0" w:color="auto"/>
            <w:right w:val="none" w:sz="0" w:space="0" w:color="auto"/>
          </w:divBdr>
          <w:divsChild>
            <w:div w:id="198782203">
              <w:marLeft w:val="0"/>
              <w:marRight w:val="0"/>
              <w:marTop w:val="0"/>
              <w:marBottom w:val="0"/>
              <w:divBdr>
                <w:top w:val="none" w:sz="0" w:space="0" w:color="auto"/>
                <w:left w:val="none" w:sz="0" w:space="0" w:color="auto"/>
                <w:bottom w:val="none" w:sz="0" w:space="0" w:color="auto"/>
                <w:right w:val="none" w:sz="0" w:space="0" w:color="auto"/>
              </w:divBdr>
              <w:divsChild>
                <w:div w:id="107967269">
                  <w:marLeft w:val="0"/>
                  <w:marRight w:val="0"/>
                  <w:marTop w:val="0"/>
                  <w:marBottom w:val="0"/>
                  <w:divBdr>
                    <w:top w:val="none" w:sz="0" w:space="0" w:color="auto"/>
                    <w:left w:val="none" w:sz="0" w:space="0" w:color="auto"/>
                    <w:bottom w:val="none" w:sz="0" w:space="0" w:color="auto"/>
                    <w:right w:val="none" w:sz="0" w:space="0" w:color="auto"/>
                  </w:divBdr>
                  <w:divsChild>
                    <w:div w:id="1603995892">
                      <w:marLeft w:val="0"/>
                      <w:marRight w:val="0"/>
                      <w:marTop w:val="0"/>
                      <w:marBottom w:val="0"/>
                      <w:divBdr>
                        <w:top w:val="none" w:sz="0" w:space="0" w:color="auto"/>
                        <w:left w:val="none" w:sz="0" w:space="0" w:color="auto"/>
                        <w:bottom w:val="none" w:sz="0" w:space="0" w:color="auto"/>
                        <w:right w:val="none" w:sz="0" w:space="0" w:color="auto"/>
                      </w:divBdr>
                      <w:divsChild>
                        <w:div w:id="2052463230">
                          <w:marLeft w:val="0"/>
                          <w:marRight w:val="0"/>
                          <w:marTop w:val="0"/>
                          <w:marBottom w:val="0"/>
                          <w:divBdr>
                            <w:top w:val="none" w:sz="0" w:space="0" w:color="auto"/>
                            <w:left w:val="none" w:sz="0" w:space="0" w:color="auto"/>
                            <w:bottom w:val="none" w:sz="0" w:space="0" w:color="auto"/>
                            <w:right w:val="none" w:sz="0" w:space="0" w:color="auto"/>
                          </w:divBdr>
                          <w:divsChild>
                            <w:div w:id="536820129">
                              <w:marLeft w:val="0"/>
                              <w:marRight w:val="0"/>
                              <w:marTop w:val="0"/>
                              <w:marBottom w:val="0"/>
                              <w:divBdr>
                                <w:top w:val="none" w:sz="0" w:space="0" w:color="auto"/>
                                <w:left w:val="none" w:sz="0" w:space="0" w:color="auto"/>
                                <w:bottom w:val="none" w:sz="0" w:space="0" w:color="auto"/>
                                <w:right w:val="none" w:sz="0" w:space="0" w:color="auto"/>
                              </w:divBdr>
                              <w:divsChild>
                                <w:div w:id="58602457">
                                  <w:marLeft w:val="0"/>
                                  <w:marRight w:val="0"/>
                                  <w:marTop w:val="0"/>
                                  <w:marBottom w:val="0"/>
                                  <w:divBdr>
                                    <w:top w:val="none" w:sz="0" w:space="0" w:color="auto"/>
                                    <w:left w:val="none" w:sz="0" w:space="0" w:color="auto"/>
                                    <w:bottom w:val="none" w:sz="0" w:space="0" w:color="auto"/>
                                    <w:right w:val="none" w:sz="0" w:space="0" w:color="auto"/>
                                  </w:divBdr>
                                  <w:divsChild>
                                    <w:div w:id="956327933">
                                      <w:marLeft w:val="0"/>
                                      <w:marRight w:val="0"/>
                                      <w:marTop w:val="0"/>
                                      <w:marBottom w:val="0"/>
                                      <w:divBdr>
                                        <w:top w:val="none" w:sz="0" w:space="0" w:color="auto"/>
                                        <w:left w:val="none" w:sz="0" w:space="0" w:color="auto"/>
                                        <w:bottom w:val="none" w:sz="0" w:space="0" w:color="auto"/>
                                        <w:right w:val="none" w:sz="0" w:space="0" w:color="auto"/>
                                      </w:divBdr>
                                      <w:divsChild>
                                        <w:div w:id="891506498">
                                          <w:marLeft w:val="0"/>
                                          <w:marRight w:val="0"/>
                                          <w:marTop w:val="0"/>
                                          <w:marBottom w:val="0"/>
                                          <w:divBdr>
                                            <w:top w:val="none" w:sz="0" w:space="0" w:color="auto"/>
                                            <w:left w:val="none" w:sz="0" w:space="0" w:color="auto"/>
                                            <w:bottom w:val="none" w:sz="0" w:space="0" w:color="auto"/>
                                            <w:right w:val="none" w:sz="0" w:space="0" w:color="auto"/>
                                          </w:divBdr>
                                          <w:divsChild>
                                            <w:div w:id="1145047127">
                                              <w:marLeft w:val="300"/>
                                              <w:marRight w:val="300"/>
                                              <w:marTop w:val="0"/>
                                              <w:marBottom w:val="0"/>
                                              <w:divBdr>
                                                <w:top w:val="none" w:sz="0" w:space="0" w:color="auto"/>
                                                <w:left w:val="none" w:sz="0" w:space="0" w:color="auto"/>
                                                <w:bottom w:val="none" w:sz="0" w:space="0" w:color="auto"/>
                                                <w:right w:val="none" w:sz="0" w:space="0" w:color="auto"/>
                                              </w:divBdr>
                                              <w:divsChild>
                                                <w:div w:id="379943005">
                                                  <w:marLeft w:val="0"/>
                                                  <w:marRight w:val="0"/>
                                                  <w:marTop w:val="0"/>
                                                  <w:marBottom w:val="0"/>
                                                  <w:divBdr>
                                                    <w:top w:val="none" w:sz="0" w:space="0" w:color="auto"/>
                                                    <w:left w:val="none" w:sz="0" w:space="0" w:color="auto"/>
                                                    <w:bottom w:val="none" w:sz="0" w:space="0" w:color="auto"/>
                                                    <w:right w:val="none" w:sz="0" w:space="0" w:color="auto"/>
                                                  </w:divBdr>
                                                  <w:divsChild>
                                                    <w:div w:id="2677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2705">
                                              <w:marLeft w:val="0"/>
                                              <w:marRight w:val="0"/>
                                              <w:marTop w:val="600"/>
                                              <w:marBottom w:val="0"/>
                                              <w:divBdr>
                                                <w:top w:val="single" w:sz="6" w:space="0" w:color="DDDDDD"/>
                                                <w:left w:val="none" w:sz="0" w:space="0" w:color="auto"/>
                                                <w:bottom w:val="none" w:sz="0" w:space="0" w:color="auto"/>
                                                <w:right w:val="none" w:sz="0" w:space="0" w:color="auto"/>
                                              </w:divBdr>
                                              <w:divsChild>
                                                <w:div w:id="692807339">
                                                  <w:marLeft w:val="0"/>
                                                  <w:marRight w:val="0"/>
                                                  <w:marTop w:val="0"/>
                                                  <w:marBottom w:val="0"/>
                                                  <w:divBdr>
                                                    <w:top w:val="none" w:sz="0" w:space="0" w:color="auto"/>
                                                    <w:left w:val="none" w:sz="0" w:space="0" w:color="auto"/>
                                                    <w:bottom w:val="none" w:sz="0" w:space="0" w:color="auto"/>
                                                    <w:right w:val="none" w:sz="0" w:space="0" w:color="auto"/>
                                                  </w:divBdr>
                                                  <w:divsChild>
                                                    <w:div w:id="851992501">
                                                      <w:marLeft w:val="0"/>
                                                      <w:marRight w:val="0"/>
                                                      <w:marTop w:val="0"/>
                                                      <w:marBottom w:val="300"/>
                                                      <w:divBdr>
                                                        <w:top w:val="none" w:sz="0" w:space="0" w:color="auto"/>
                                                        <w:left w:val="none" w:sz="0" w:space="0" w:color="auto"/>
                                                        <w:bottom w:val="none" w:sz="0" w:space="0" w:color="auto"/>
                                                        <w:right w:val="none" w:sz="0" w:space="0" w:color="auto"/>
                                                      </w:divBdr>
                                                      <w:divsChild>
                                                        <w:div w:id="1985115263">
                                                          <w:marLeft w:val="0"/>
                                                          <w:marRight w:val="0"/>
                                                          <w:marTop w:val="0"/>
                                                          <w:marBottom w:val="0"/>
                                                          <w:divBdr>
                                                            <w:top w:val="none" w:sz="0" w:space="0" w:color="auto"/>
                                                            <w:left w:val="none" w:sz="0" w:space="0" w:color="auto"/>
                                                            <w:bottom w:val="none" w:sz="0" w:space="0" w:color="auto"/>
                                                            <w:right w:val="none" w:sz="0" w:space="0" w:color="auto"/>
                                                          </w:divBdr>
                                                        </w:div>
                                                        <w:div w:id="1351952618">
                                                          <w:marLeft w:val="0"/>
                                                          <w:marRight w:val="0"/>
                                                          <w:marTop w:val="0"/>
                                                          <w:marBottom w:val="0"/>
                                                          <w:divBdr>
                                                            <w:top w:val="single" w:sz="6" w:space="8" w:color="DDDDDD"/>
                                                            <w:left w:val="none" w:sz="0" w:space="0" w:color="auto"/>
                                                            <w:bottom w:val="none" w:sz="0" w:space="0" w:color="auto"/>
                                                            <w:right w:val="none" w:sz="0" w:space="0" w:color="auto"/>
                                                          </w:divBdr>
                                                        </w:div>
                                                      </w:divsChild>
                                                    </w:div>
                                                    <w:div w:id="2037777400">
                                                      <w:marLeft w:val="0"/>
                                                      <w:marRight w:val="0"/>
                                                      <w:marTop w:val="0"/>
                                                      <w:marBottom w:val="225"/>
                                                      <w:divBdr>
                                                        <w:top w:val="none" w:sz="0" w:space="0" w:color="auto"/>
                                                        <w:left w:val="none" w:sz="0" w:space="0" w:color="auto"/>
                                                        <w:bottom w:val="none" w:sz="0" w:space="0" w:color="auto"/>
                                                        <w:right w:val="none" w:sz="0" w:space="0" w:color="auto"/>
                                                      </w:divBdr>
                                                    </w:div>
                                                    <w:div w:id="1880970252">
                                                      <w:marLeft w:val="0"/>
                                                      <w:marRight w:val="0"/>
                                                      <w:marTop w:val="0"/>
                                                      <w:marBottom w:val="0"/>
                                                      <w:divBdr>
                                                        <w:top w:val="none" w:sz="0" w:space="0" w:color="auto"/>
                                                        <w:left w:val="none" w:sz="0" w:space="0" w:color="auto"/>
                                                        <w:bottom w:val="none" w:sz="0" w:space="0" w:color="auto"/>
                                                        <w:right w:val="none" w:sz="0" w:space="0" w:color="auto"/>
                                                      </w:divBdr>
                                                      <w:divsChild>
                                                        <w:div w:id="1318925657">
                                                          <w:marLeft w:val="0"/>
                                                          <w:marRight w:val="0"/>
                                                          <w:marTop w:val="0"/>
                                                          <w:marBottom w:val="0"/>
                                                          <w:divBdr>
                                                            <w:top w:val="none" w:sz="0" w:space="0" w:color="auto"/>
                                                            <w:left w:val="none" w:sz="0" w:space="0" w:color="auto"/>
                                                            <w:bottom w:val="none" w:sz="0" w:space="0" w:color="auto"/>
                                                            <w:right w:val="none" w:sz="0" w:space="0" w:color="auto"/>
                                                          </w:divBdr>
                                                          <w:divsChild>
                                                            <w:div w:id="1178346731">
                                                              <w:marLeft w:val="0"/>
                                                              <w:marRight w:val="0"/>
                                                              <w:marTop w:val="0"/>
                                                              <w:marBottom w:val="0"/>
                                                              <w:divBdr>
                                                                <w:top w:val="none" w:sz="0" w:space="0" w:color="auto"/>
                                                                <w:left w:val="none" w:sz="0" w:space="0" w:color="auto"/>
                                                                <w:bottom w:val="none" w:sz="0" w:space="0" w:color="auto"/>
                                                                <w:right w:val="none" w:sz="0" w:space="0" w:color="auto"/>
                                                              </w:divBdr>
                                                              <w:divsChild>
                                                                <w:div w:id="1969120945">
                                                                  <w:marLeft w:val="0"/>
                                                                  <w:marRight w:val="0"/>
                                                                  <w:marTop w:val="0"/>
                                                                  <w:marBottom w:val="0"/>
                                                                  <w:divBdr>
                                                                    <w:top w:val="none" w:sz="0" w:space="0" w:color="auto"/>
                                                                    <w:left w:val="none" w:sz="0" w:space="0" w:color="auto"/>
                                                                    <w:bottom w:val="none" w:sz="0" w:space="0" w:color="auto"/>
                                                                    <w:right w:val="none" w:sz="0" w:space="0" w:color="auto"/>
                                                                  </w:divBdr>
                                                                  <w:divsChild>
                                                                    <w:div w:id="1234512391">
                                                                      <w:marLeft w:val="0"/>
                                                                      <w:marRight w:val="0"/>
                                                                      <w:marTop w:val="0"/>
                                                                      <w:marBottom w:val="0"/>
                                                                      <w:divBdr>
                                                                        <w:top w:val="none" w:sz="0" w:space="0" w:color="auto"/>
                                                                        <w:left w:val="none" w:sz="0" w:space="0" w:color="auto"/>
                                                                        <w:bottom w:val="none" w:sz="0" w:space="0" w:color="auto"/>
                                                                        <w:right w:val="none" w:sz="0" w:space="0" w:color="auto"/>
                                                                      </w:divBdr>
                                                                    </w:div>
                                                                    <w:div w:id="2017339775">
                                                                      <w:marLeft w:val="0"/>
                                                                      <w:marRight w:val="0"/>
                                                                      <w:marTop w:val="0"/>
                                                                      <w:marBottom w:val="0"/>
                                                                      <w:divBdr>
                                                                        <w:top w:val="none" w:sz="0" w:space="0" w:color="auto"/>
                                                                        <w:left w:val="none" w:sz="0" w:space="0" w:color="auto"/>
                                                                        <w:bottom w:val="none" w:sz="0" w:space="0" w:color="auto"/>
                                                                        <w:right w:val="none" w:sz="0" w:space="0" w:color="auto"/>
                                                                      </w:divBdr>
                                                                      <w:divsChild>
                                                                        <w:div w:id="1387218882">
                                                                          <w:marLeft w:val="300"/>
                                                                          <w:marRight w:val="300"/>
                                                                          <w:marTop w:val="0"/>
                                                                          <w:marBottom w:val="0"/>
                                                                          <w:divBdr>
                                                                            <w:top w:val="none" w:sz="0" w:space="0" w:color="auto"/>
                                                                            <w:left w:val="none" w:sz="0" w:space="0" w:color="auto"/>
                                                                            <w:bottom w:val="none" w:sz="0" w:space="0" w:color="auto"/>
                                                                            <w:right w:val="none" w:sz="0" w:space="0" w:color="auto"/>
                                                                          </w:divBdr>
                                                                          <w:divsChild>
                                                                            <w:div w:id="1526945929">
                                                                              <w:marLeft w:val="0"/>
                                                                              <w:marRight w:val="0"/>
                                                                              <w:marTop w:val="0"/>
                                                                              <w:marBottom w:val="0"/>
                                                                              <w:divBdr>
                                                                                <w:top w:val="none" w:sz="0" w:space="0" w:color="auto"/>
                                                                                <w:left w:val="none" w:sz="0" w:space="0" w:color="auto"/>
                                                                                <w:bottom w:val="none" w:sz="0" w:space="0" w:color="auto"/>
                                                                                <w:right w:val="none" w:sz="0" w:space="0" w:color="auto"/>
                                                                              </w:divBdr>
                                                                            </w:div>
                                                                            <w:div w:id="663052486">
                                                                              <w:marLeft w:val="0"/>
                                                                              <w:marRight w:val="0"/>
                                                                              <w:marTop w:val="0"/>
                                                                              <w:marBottom w:val="0"/>
                                                                              <w:divBdr>
                                                                                <w:top w:val="none" w:sz="0" w:space="0" w:color="auto"/>
                                                                                <w:left w:val="none" w:sz="0" w:space="0" w:color="auto"/>
                                                                                <w:bottom w:val="none" w:sz="0" w:space="0" w:color="auto"/>
                                                                                <w:right w:val="none" w:sz="0" w:space="0" w:color="auto"/>
                                                                              </w:divBdr>
                                                                            </w:div>
                                                                            <w:div w:id="914054764">
                                                                              <w:marLeft w:val="0"/>
                                                                              <w:marRight w:val="0"/>
                                                                              <w:marTop w:val="0"/>
                                                                              <w:marBottom w:val="0"/>
                                                                              <w:divBdr>
                                                                                <w:top w:val="none" w:sz="0" w:space="0" w:color="auto"/>
                                                                                <w:left w:val="none" w:sz="0" w:space="0" w:color="auto"/>
                                                                                <w:bottom w:val="none" w:sz="0" w:space="0" w:color="auto"/>
                                                                                <w:right w:val="none" w:sz="0" w:space="0" w:color="auto"/>
                                                                              </w:divBdr>
                                                                            </w:div>
                                                                            <w:div w:id="1982230400">
                                                                              <w:marLeft w:val="0"/>
                                                                              <w:marRight w:val="0"/>
                                                                              <w:marTop w:val="0"/>
                                                                              <w:marBottom w:val="0"/>
                                                                              <w:divBdr>
                                                                                <w:top w:val="none" w:sz="0" w:space="0" w:color="auto"/>
                                                                                <w:left w:val="none" w:sz="0" w:space="0" w:color="auto"/>
                                                                                <w:bottom w:val="none" w:sz="0" w:space="0" w:color="auto"/>
                                                                                <w:right w:val="none" w:sz="0" w:space="0" w:color="auto"/>
                                                                              </w:divBdr>
                                                                            </w:div>
                                                                            <w:div w:id="675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82051">
                                                          <w:marLeft w:val="0"/>
                                                          <w:marRight w:val="0"/>
                                                          <w:marTop w:val="300"/>
                                                          <w:marBottom w:val="0"/>
                                                          <w:divBdr>
                                                            <w:top w:val="none" w:sz="0" w:space="0" w:color="auto"/>
                                                            <w:left w:val="none" w:sz="0" w:space="0" w:color="auto"/>
                                                            <w:bottom w:val="none" w:sz="0" w:space="0" w:color="auto"/>
                                                            <w:right w:val="none" w:sz="0" w:space="0" w:color="auto"/>
                                                          </w:divBdr>
                                                          <w:divsChild>
                                                            <w:div w:id="997610289">
                                                              <w:marLeft w:val="0"/>
                                                              <w:marRight w:val="0"/>
                                                              <w:marTop w:val="0"/>
                                                              <w:marBottom w:val="0"/>
                                                              <w:divBdr>
                                                                <w:top w:val="none" w:sz="0" w:space="0" w:color="auto"/>
                                                                <w:left w:val="none" w:sz="0" w:space="0" w:color="auto"/>
                                                                <w:bottom w:val="none" w:sz="0" w:space="0" w:color="auto"/>
                                                                <w:right w:val="none" w:sz="0" w:space="0" w:color="auto"/>
                                                              </w:divBdr>
                                                              <w:divsChild>
                                                                <w:div w:id="1223756073">
                                                                  <w:marLeft w:val="0"/>
                                                                  <w:marRight w:val="0"/>
                                                                  <w:marTop w:val="0"/>
                                                                  <w:marBottom w:val="0"/>
                                                                  <w:divBdr>
                                                                    <w:top w:val="none" w:sz="0" w:space="0" w:color="auto"/>
                                                                    <w:left w:val="none" w:sz="0" w:space="0" w:color="auto"/>
                                                                    <w:bottom w:val="none" w:sz="0" w:space="0" w:color="auto"/>
                                                                    <w:right w:val="none" w:sz="0" w:space="0" w:color="auto"/>
                                                                  </w:divBdr>
                                                                  <w:divsChild>
                                                                    <w:div w:id="392196000">
                                                                      <w:marLeft w:val="0"/>
                                                                      <w:marRight w:val="0"/>
                                                                      <w:marTop w:val="0"/>
                                                                      <w:marBottom w:val="0"/>
                                                                      <w:divBdr>
                                                                        <w:top w:val="none" w:sz="0" w:space="0" w:color="auto"/>
                                                                        <w:left w:val="none" w:sz="0" w:space="0" w:color="auto"/>
                                                                        <w:bottom w:val="none" w:sz="0" w:space="0" w:color="auto"/>
                                                                        <w:right w:val="none" w:sz="0" w:space="0" w:color="auto"/>
                                                                      </w:divBdr>
                                                                      <w:divsChild>
                                                                        <w:div w:id="554437153">
                                                                          <w:marLeft w:val="480"/>
                                                                          <w:marRight w:val="0"/>
                                                                          <w:marTop w:val="75"/>
                                                                          <w:marBottom w:val="75"/>
                                                                          <w:divBdr>
                                                                            <w:top w:val="none" w:sz="0" w:space="0" w:color="auto"/>
                                                                            <w:left w:val="none" w:sz="0" w:space="0" w:color="auto"/>
                                                                            <w:bottom w:val="none" w:sz="0" w:space="0" w:color="auto"/>
                                                                            <w:right w:val="none" w:sz="0" w:space="0" w:color="auto"/>
                                                                          </w:divBdr>
                                                                        </w:div>
                                                                      </w:divsChild>
                                                                    </w:div>
                                                                    <w:div w:id="1407798519">
                                                                      <w:marLeft w:val="0"/>
                                                                      <w:marRight w:val="0"/>
                                                                      <w:marTop w:val="0"/>
                                                                      <w:marBottom w:val="0"/>
                                                                      <w:divBdr>
                                                                        <w:top w:val="none" w:sz="0" w:space="0" w:color="auto"/>
                                                                        <w:left w:val="none" w:sz="0" w:space="0" w:color="auto"/>
                                                                        <w:bottom w:val="none" w:sz="0" w:space="0" w:color="auto"/>
                                                                        <w:right w:val="none" w:sz="0" w:space="0" w:color="auto"/>
                                                                      </w:divBdr>
                                                                      <w:divsChild>
                                                                        <w:div w:id="906065209">
                                                                          <w:marLeft w:val="525"/>
                                                                          <w:marRight w:val="525"/>
                                                                          <w:marTop w:val="525"/>
                                                                          <w:marBottom w:val="525"/>
                                                                          <w:divBdr>
                                                                            <w:top w:val="none" w:sz="0" w:space="0" w:color="auto"/>
                                                                            <w:left w:val="none" w:sz="0" w:space="0" w:color="auto"/>
                                                                            <w:bottom w:val="none" w:sz="0" w:space="0" w:color="auto"/>
                                                                            <w:right w:val="none" w:sz="0" w:space="0" w:color="auto"/>
                                                                          </w:divBdr>
                                                                          <w:divsChild>
                                                                            <w:div w:id="2110348015">
                                                                              <w:marLeft w:val="0"/>
                                                                              <w:marRight w:val="0"/>
                                                                              <w:marTop w:val="0"/>
                                                                              <w:marBottom w:val="0"/>
                                                                              <w:divBdr>
                                                                                <w:top w:val="none" w:sz="0" w:space="0" w:color="auto"/>
                                                                                <w:left w:val="none" w:sz="0" w:space="0" w:color="auto"/>
                                                                                <w:bottom w:val="none" w:sz="0" w:space="0" w:color="auto"/>
                                                                                <w:right w:val="none" w:sz="0" w:space="0" w:color="auto"/>
                                                                              </w:divBdr>
                                                                              <w:divsChild>
                                                                                <w:div w:id="1697072487">
                                                                                  <w:marLeft w:val="0"/>
                                                                                  <w:marRight w:val="0"/>
                                                                                  <w:marTop w:val="0"/>
                                                                                  <w:marBottom w:val="0"/>
                                                                                  <w:divBdr>
                                                                                    <w:top w:val="none" w:sz="0" w:space="0" w:color="auto"/>
                                                                                    <w:left w:val="none" w:sz="0" w:space="0" w:color="auto"/>
                                                                                    <w:bottom w:val="none" w:sz="0" w:space="0" w:color="auto"/>
                                                                                    <w:right w:val="none" w:sz="0" w:space="0" w:color="auto"/>
                                                                                  </w:divBdr>
                                                                                </w:div>
                                                                                <w:div w:id="334502086">
                                                                                  <w:marLeft w:val="0"/>
                                                                                  <w:marRight w:val="0"/>
                                                                                  <w:marTop w:val="0"/>
                                                                                  <w:marBottom w:val="0"/>
                                                                                  <w:divBdr>
                                                                                    <w:top w:val="none" w:sz="0" w:space="0" w:color="auto"/>
                                                                                    <w:left w:val="none" w:sz="0" w:space="0" w:color="auto"/>
                                                                                    <w:bottom w:val="none" w:sz="0" w:space="0" w:color="auto"/>
                                                                                    <w:right w:val="none" w:sz="0" w:space="0" w:color="auto"/>
                                                                                  </w:divBdr>
                                                                                  <w:divsChild>
                                                                                    <w:div w:id="486942098">
                                                                                      <w:marLeft w:val="0"/>
                                                                                      <w:marRight w:val="0"/>
                                                                                      <w:marTop w:val="0"/>
                                                                                      <w:marBottom w:val="0"/>
                                                                                      <w:divBdr>
                                                                                        <w:top w:val="none" w:sz="0" w:space="0" w:color="auto"/>
                                                                                        <w:left w:val="none" w:sz="0" w:space="0" w:color="auto"/>
                                                                                        <w:bottom w:val="none" w:sz="0" w:space="0" w:color="auto"/>
                                                                                        <w:right w:val="none" w:sz="0" w:space="0" w:color="auto"/>
                                                                                      </w:divBdr>
                                                                                    </w:div>
                                                                                    <w:div w:id="15481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751">
                                                                          <w:marLeft w:val="525"/>
                                                                          <w:marRight w:val="525"/>
                                                                          <w:marTop w:val="525"/>
                                                                          <w:marBottom w:val="525"/>
                                                                          <w:divBdr>
                                                                            <w:top w:val="none" w:sz="0" w:space="0" w:color="auto"/>
                                                                            <w:left w:val="none" w:sz="0" w:space="0" w:color="auto"/>
                                                                            <w:bottom w:val="none" w:sz="0" w:space="0" w:color="auto"/>
                                                                            <w:right w:val="none" w:sz="0" w:space="0" w:color="auto"/>
                                                                          </w:divBdr>
                                                                          <w:divsChild>
                                                                            <w:div w:id="2016876045">
                                                                              <w:marLeft w:val="0"/>
                                                                              <w:marRight w:val="0"/>
                                                                              <w:marTop w:val="0"/>
                                                                              <w:marBottom w:val="0"/>
                                                                              <w:divBdr>
                                                                                <w:top w:val="none" w:sz="0" w:space="0" w:color="auto"/>
                                                                                <w:left w:val="none" w:sz="0" w:space="0" w:color="auto"/>
                                                                                <w:bottom w:val="none" w:sz="0" w:space="0" w:color="auto"/>
                                                                                <w:right w:val="none" w:sz="0" w:space="0" w:color="auto"/>
                                                                              </w:divBdr>
                                                                              <w:divsChild>
                                                                                <w:div w:id="752315199">
                                                                                  <w:marLeft w:val="0"/>
                                                                                  <w:marRight w:val="0"/>
                                                                                  <w:marTop w:val="0"/>
                                                                                  <w:marBottom w:val="0"/>
                                                                                  <w:divBdr>
                                                                                    <w:top w:val="none" w:sz="0" w:space="0" w:color="auto"/>
                                                                                    <w:left w:val="none" w:sz="0" w:space="0" w:color="auto"/>
                                                                                    <w:bottom w:val="none" w:sz="0" w:space="0" w:color="auto"/>
                                                                                    <w:right w:val="none" w:sz="0" w:space="0" w:color="auto"/>
                                                                                  </w:divBdr>
                                                                                </w:div>
                                                                                <w:div w:id="1674256653">
                                                                                  <w:marLeft w:val="0"/>
                                                                                  <w:marRight w:val="0"/>
                                                                                  <w:marTop w:val="0"/>
                                                                                  <w:marBottom w:val="0"/>
                                                                                  <w:divBdr>
                                                                                    <w:top w:val="none" w:sz="0" w:space="0" w:color="auto"/>
                                                                                    <w:left w:val="none" w:sz="0" w:space="0" w:color="auto"/>
                                                                                    <w:bottom w:val="none" w:sz="0" w:space="0" w:color="auto"/>
                                                                                    <w:right w:val="none" w:sz="0" w:space="0" w:color="auto"/>
                                                                                  </w:divBdr>
                                                                                  <w:divsChild>
                                                                                    <w:div w:id="112948372">
                                                                                      <w:marLeft w:val="0"/>
                                                                                      <w:marRight w:val="0"/>
                                                                                      <w:marTop w:val="0"/>
                                                                                      <w:marBottom w:val="0"/>
                                                                                      <w:divBdr>
                                                                                        <w:top w:val="none" w:sz="0" w:space="0" w:color="auto"/>
                                                                                        <w:left w:val="none" w:sz="0" w:space="0" w:color="auto"/>
                                                                                        <w:bottom w:val="none" w:sz="0" w:space="0" w:color="auto"/>
                                                                                        <w:right w:val="none" w:sz="0" w:space="0" w:color="auto"/>
                                                                                      </w:divBdr>
                                                                                    </w:div>
                                                                                    <w:div w:id="2044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954">
                                                                          <w:marLeft w:val="525"/>
                                                                          <w:marRight w:val="525"/>
                                                                          <w:marTop w:val="525"/>
                                                                          <w:marBottom w:val="525"/>
                                                                          <w:divBdr>
                                                                            <w:top w:val="none" w:sz="0" w:space="0" w:color="auto"/>
                                                                            <w:left w:val="none" w:sz="0" w:space="0" w:color="auto"/>
                                                                            <w:bottom w:val="none" w:sz="0" w:space="0" w:color="auto"/>
                                                                            <w:right w:val="none" w:sz="0" w:space="0" w:color="auto"/>
                                                                          </w:divBdr>
                                                                          <w:divsChild>
                                                                            <w:div w:id="602811467">
                                                                              <w:marLeft w:val="0"/>
                                                                              <w:marRight w:val="0"/>
                                                                              <w:marTop w:val="0"/>
                                                                              <w:marBottom w:val="0"/>
                                                                              <w:divBdr>
                                                                                <w:top w:val="none" w:sz="0" w:space="0" w:color="auto"/>
                                                                                <w:left w:val="none" w:sz="0" w:space="0" w:color="auto"/>
                                                                                <w:bottom w:val="none" w:sz="0" w:space="0" w:color="auto"/>
                                                                                <w:right w:val="none" w:sz="0" w:space="0" w:color="auto"/>
                                                                              </w:divBdr>
                                                                              <w:divsChild>
                                                                                <w:div w:id="688141821">
                                                                                  <w:marLeft w:val="0"/>
                                                                                  <w:marRight w:val="0"/>
                                                                                  <w:marTop w:val="0"/>
                                                                                  <w:marBottom w:val="0"/>
                                                                                  <w:divBdr>
                                                                                    <w:top w:val="none" w:sz="0" w:space="0" w:color="auto"/>
                                                                                    <w:left w:val="none" w:sz="0" w:space="0" w:color="auto"/>
                                                                                    <w:bottom w:val="none" w:sz="0" w:space="0" w:color="auto"/>
                                                                                    <w:right w:val="none" w:sz="0" w:space="0" w:color="auto"/>
                                                                                  </w:divBdr>
                                                                                </w:div>
                                                                                <w:div w:id="1308780986">
                                                                                  <w:marLeft w:val="0"/>
                                                                                  <w:marRight w:val="0"/>
                                                                                  <w:marTop w:val="0"/>
                                                                                  <w:marBottom w:val="0"/>
                                                                                  <w:divBdr>
                                                                                    <w:top w:val="none" w:sz="0" w:space="0" w:color="auto"/>
                                                                                    <w:left w:val="none" w:sz="0" w:space="0" w:color="auto"/>
                                                                                    <w:bottom w:val="none" w:sz="0" w:space="0" w:color="auto"/>
                                                                                    <w:right w:val="none" w:sz="0" w:space="0" w:color="auto"/>
                                                                                  </w:divBdr>
                                                                                  <w:divsChild>
                                                                                    <w:div w:id="967589907">
                                                                                      <w:marLeft w:val="0"/>
                                                                                      <w:marRight w:val="0"/>
                                                                                      <w:marTop w:val="0"/>
                                                                                      <w:marBottom w:val="0"/>
                                                                                      <w:divBdr>
                                                                                        <w:top w:val="none" w:sz="0" w:space="0" w:color="auto"/>
                                                                                        <w:left w:val="none" w:sz="0" w:space="0" w:color="auto"/>
                                                                                        <w:bottom w:val="none" w:sz="0" w:space="0" w:color="auto"/>
                                                                                        <w:right w:val="none" w:sz="0" w:space="0" w:color="auto"/>
                                                                                      </w:divBdr>
                                                                                    </w:div>
                                                                                    <w:div w:id="694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678">
                                                                      <w:marLeft w:val="0"/>
                                                                      <w:marRight w:val="0"/>
                                                                      <w:marTop w:val="0"/>
                                                                      <w:marBottom w:val="0"/>
                                                                      <w:divBdr>
                                                                        <w:top w:val="none" w:sz="0" w:space="0" w:color="auto"/>
                                                                        <w:left w:val="none" w:sz="0" w:space="0" w:color="auto"/>
                                                                        <w:bottom w:val="none" w:sz="0" w:space="0" w:color="auto"/>
                                                                        <w:right w:val="none" w:sz="0" w:space="0" w:color="auto"/>
                                                                      </w:divBdr>
                                                                    </w:div>
                                                                  </w:divsChild>
                                                                </w:div>
                                                                <w:div w:id="914244501">
                                                                  <w:marLeft w:val="0"/>
                                                                  <w:marRight w:val="0"/>
                                                                  <w:marTop w:val="0"/>
                                                                  <w:marBottom w:val="0"/>
                                                                  <w:divBdr>
                                                                    <w:top w:val="none" w:sz="0" w:space="0" w:color="auto"/>
                                                                    <w:left w:val="none" w:sz="0" w:space="0" w:color="auto"/>
                                                                    <w:bottom w:val="none" w:sz="0" w:space="0" w:color="auto"/>
                                                                    <w:right w:val="none" w:sz="0" w:space="0" w:color="auto"/>
                                                                  </w:divBdr>
                                                                  <w:divsChild>
                                                                    <w:div w:id="2053917759">
                                                                      <w:marLeft w:val="150"/>
                                                                      <w:marRight w:val="150"/>
                                                                      <w:marTop w:val="150"/>
                                                                      <w:marBottom w:val="150"/>
                                                                      <w:divBdr>
                                                                        <w:top w:val="none" w:sz="0" w:space="0" w:color="auto"/>
                                                                        <w:left w:val="none" w:sz="0" w:space="0" w:color="auto"/>
                                                                        <w:bottom w:val="none" w:sz="0" w:space="0" w:color="auto"/>
                                                                        <w:right w:val="none" w:sz="0" w:space="0" w:color="auto"/>
                                                                      </w:divBdr>
                                                                      <w:divsChild>
                                                                        <w:div w:id="306013127">
                                                                          <w:marLeft w:val="0"/>
                                                                          <w:marRight w:val="0"/>
                                                                          <w:marTop w:val="0"/>
                                                                          <w:marBottom w:val="0"/>
                                                                          <w:divBdr>
                                                                            <w:top w:val="none" w:sz="0" w:space="0" w:color="auto"/>
                                                                            <w:left w:val="none" w:sz="0" w:space="0" w:color="auto"/>
                                                                            <w:bottom w:val="none" w:sz="0" w:space="0" w:color="auto"/>
                                                                            <w:right w:val="none" w:sz="0" w:space="0" w:color="auto"/>
                                                                          </w:divBdr>
                                                                          <w:divsChild>
                                                                            <w:div w:id="1659840894">
                                                                              <w:marLeft w:val="0"/>
                                                                              <w:marRight w:val="0"/>
                                                                              <w:marTop w:val="0"/>
                                                                              <w:marBottom w:val="0"/>
                                                                              <w:divBdr>
                                                                                <w:top w:val="none" w:sz="0" w:space="0" w:color="auto"/>
                                                                                <w:left w:val="none" w:sz="0" w:space="0" w:color="auto"/>
                                                                                <w:bottom w:val="single" w:sz="6" w:space="11" w:color="E5E5E5"/>
                                                                                <w:right w:val="none" w:sz="0" w:space="0" w:color="auto"/>
                                                                              </w:divBdr>
                                                                            </w:div>
                                                                            <w:div w:id="1987467758">
                                                                              <w:marLeft w:val="0"/>
                                                                              <w:marRight w:val="0"/>
                                                                              <w:marTop w:val="0"/>
                                                                              <w:marBottom w:val="0"/>
                                                                              <w:divBdr>
                                                                                <w:top w:val="none" w:sz="0" w:space="0" w:color="auto"/>
                                                                                <w:left w:val="none" w:sz="0" w:space="0" w:color="auto"/>
                                                                                <w:bottom w:val="none" w:sz="0" w:space="0" w:color="auto"/>
                                                                                <w:right w:val="none" w:sz="0" w:space="0" w:color="auto"/>
                                                                              </w:divBdr>
                                                                              <w:divsChild>
                                                                                <w:div w:id="2098356551">
                                                                                  <w:marLeft w:val="0"/>
                                                                                  <w:marRight w:val="0"/>
                                                                                  <w:marTop w:val="0"/>
                                                                                  <w:marBottom w:val="0"/>
                                                                                  <w:divBdr>
                                                                                    <w:top w:val="none" w:sz="0" w:space="0" w:color="auto"/>
                                                                                    <w:left w:val="none" w:sz="0" w:space="0" w:color="auto"/>
                                                                                    <w:bottom w:val="none" w:sz="0" w:space="0" w:color="auto"/>
                                                                                    <w:right w:val="none" w:sz="0" w:space="0" w:color="auto"/>
                                                                                  </w:divBdr>
                                                                                  <w:divsChild>
                                                                                    <w:div w:id="982583947">
                                                                                      <w:marLeft w:val="0"/>
                                                                                      <w:marRight w:val="0"/>
                                                                                      <w:marTop w:val="0"/>
                                                                                      <w:marBottom w:val="0"/>
                                                                                      <w:divBdr>
                                                                                        <w:top w:val="none" w:sz="0" w:space="0" w:color="auto"/>
                                                                                        <w:left w:val="none" w:sz="0" w:space="0" w:color="auto"/>
                                                                                        <w:bottom w:val="none" w:sz="0" w:space="0" w:color="auto"/>
                                                                                        <w:right w:val="none" w:sz="0" w:space="0" w:color="auto"/>
                                                                                      </w:divBdr>
                                                                                      <w:divsChild>
                                                                                        <w:div w:id="1320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01187">
                                                      <w:marLeft w:val="0"/>
                                                      <w:marRight w:val="0"/>
                                                      <w:marTop w:val="0"/>
                                                      <w:marBottom w:val="225"/>
                                                      <w:divBdr>
                                                        <w:top w:val="none" w:sz="0" w:space="0" w:color="auto"/>
                                                        <w:left w:val="none" w:sz="0" w:space="0" w:color="auto"/>
                                                        <w:bottom w:val="none" w:sz="0" w:space="0" w:color="auto"/>
                                                        <w:right w:val="none" w:sz="0" w:space="0" w:color="auto"/>
                                                      </w:divBdr>
                                                    </w:div>
                                                  </w:divsChild>
                                                </w:div>
                                                <w:div w:id="373191550">
                                                  <w:marLeft w:val="0"/>
                                                  <w:marRight w:val="0"/>
                                                  <w:marTop w:val="0"/>
                                                  <w:marBottom w:val="0"/>
                                                  <w:divBdr>
                                                    <w:top w:val="none" w:sz="0" w:space="0" w:color="auto"/>
                                                    <w:left w:val="none" w:sz="0" w:space="0" w:color="auto"/>
                                                    <w:bottom w:val="none" w:sz="0" w:space="0" w:color="auto"/>
                                                    <w:right w:val="none" w:sz="0" w:space="0" w:color="auto"/>
                                                  </w:divBdr>
                                                  <w:divsChild>
                                                    <w:div w:id="679432997">
                                                      <w:marLeft w:val="0"/>
                                                      <w:marRight w:val="0"/>
                                                      <w:marTop w:val="0"/>
                                                      <w:marBottom w:val="0"/>
                                                      <w:divBdr>
                                                        <w:top w:val="none" w:sz="0" w:space="0" w:color="auto"/>
                                                        <w:left w:val="none" w:sz="0" w:space="0" w:color="auto"/>
                                                        <w:bottom w:val="none" w:sz="0" w:space="0" w:color="auto"/>
                                                        <w:right w:val="none" w:sz="0" w:space="0" w:color="auto"/>
                                                      </w:divBdr>
                                                      <w:divsChild>
                                                        <w:div w:id="765426294">
                                                          <w:marLeft w:val="0"/>
                                                          <w:marRight w:val="0"/>
                                                          <w:marTop w:val="0"/>
                                                          <w:marBottom w:val="0"/>
                                                          <w:divBdr>
                                                            <w:top w:val="none" w:sz="0" w:space="0" w:color="auto"/>
                                                            <w:left w:val="none" w:sz="0" w:space="0" w:color="auto"/>
                                                            <w:bottom w:val="none" w:sz="0" w:space="0" w:color="auto"/>
                                                            <w:right w:val="none" w:sz="0" w:space="0" w:color="auto"/>
                                                          </w:divBdr>
                                                          <w:divsChild>
                                                            <w:div w:id="668170119">
                                                              <w:marLeft w:val="0"/>
                                                              <w:marRight w:val="0"/>
                                                              <w:marTop w:val="0"/>
                                                              <w:marBottom w:val="0"/>
                                                              <w:divBdr>
                                                                <w:top w:val="none" w:sz="0" w:space="0" w:color="auto"/>
                                                                <w:left w:val="none" w:sz="0" w:space="0" w:color="auto"/>
                                                                <w:bottom w:val="none" w:sz="0" w:space="0" w:color="auto"/>
                                                                <w:right w:val="none" w:sz="0" w:space="0" w:color="auto"/>
                                                              </w:divBdr>
                                                              <w:divsChild>
                                                                <w:div w:id="318772874">
                                                                  <w:marLeft w:val="0"/>
                                                                  <w:marRight w:val="0"/>
                                                                  <w:marTop w:val="0"/>
                                                                  <w:marBottom w:val="225"/>
                                                                  <w:divBdr>
                                                                    <w:top w:val="dotted" w:sz="6" w:space="15" w:color="D7D7D7"/>
                                                                    <w:left w:val="none" w:sz="0" w:space="0" w:color="auto"/>
                                                                    <w:bottom w:val="dotted" w:sz="6" w:space="11" w:color="D7D7D7"/>
                                                                    <w:right w:val="none" w:sz="0" w:space="0" w:color="auto"/>
                                                                  </w:divBdr>
                                                                  <w:divsChild>
                                                                    <w:div w:id="412818301">
                                                                      <w:marLeft w:val="0"/>
                                                                      <w:marRight w:val="0"/>
                                                                      <w:marTop w:val="0"/>
                                                                      <w:marBottom w:val="0"/>
                                                                      <w:divBdr>
                                                                        <w:top w:val="none" w:sz="0" w:space="0" w:color="auto"/>
                                                                        <w:left w:val="none" w:sz="0" w:space="0" w:color="auto"/>
                                                                        <w:bottom w:val="none" w:sz="0" w:space="0" w:color="auto"/>
                                                                        <w:right w:val="none" w:sz="0" w:space="0" w:color="auto"/>
                                                                      </w:divBdr>
                                                                      <w:divsChild>
                                                                        <w:div w:id="4328763">
                                                                          <w:marLeft w:val="0"/>
                                                                          <w:marRight w:val="0"/>
                                                                          <w:marTop w:val="0"/>
                                                                          <w:marBottom w:val="0"/>
                                                                          <w:divBdr>
                                                                            <w:top w:val="none" w:sz="0" w:space="0" w:color="auto"/>
                                                                            <w:left w:val="none" w:sz="0" w:space="0" w:color="auto"/>
                                                                            <w:bottom w:val="none" w:sz="0" w:space="0" w:color="auto"/>
                                                                            <w:right w:val="none" w:sz="0" w:space="0" w:color="auto"/>
                                                                          </w:divBdr>
                                                                          <w:divsChild>
                                                                            <w:div w:id="20010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6">
                                                      <w:marLeft w:val="0"/>
                                                      <w:marRight w:val="0"/>
                                                      <w:marTop w:val="0"/>
                                                      <w:marBottom w:val="0"/>
                                                      <w:divBdr>
                                                        <w:top w:val="none" w:sz="0" w:space="0" w:color="auto"/>
                                                        <w:left w:val="none" w:sz="0" w:space="0" w:color="auto"/>
                                                        <w:bottom w:val="none" w:sz="0" w:space="0" w:color="auto"/>
                                                        <w:right w:val="none" w:sz="0" w:space="0" w:color="auto"/>
                                                      </w:divBdr>
                                                    </w:div>
                                                    <w:div w:id="2094622881">
                                                      <w:marLeft w:val="0"/>
                                                      <w:marRight w:val="0"/>
                                                      <w:marTop w:val="0"/>
                                                      <w:marBottom w:val="0"/>
                                                      <w:divBdr>
                                                        <w:top w:val="none" w:sz="0" w:space="0" w:color="auto"/>
                                                        <w:left w:val="none" w:sz="0" w:space="0" w:color="auto"/>
                                                        <w:bottom w:val="none" w:sz="0" w:space="0" w:color="auto"/>
                                                        <w:right w:val="none" w:sz="0" w:space="0" w:color="auto"/>
                                                      </w:divBdr>
                                                    </w:div>
                                                    <w:div w:id="76098718">
                                                      <w:marLeft w:val="0"/>
                                                      <w:marRight w:val="0"/>
                                                      <w:marTop w:val="0"/>
                                                      <w:marBottom w:val="0"/>
                                                      <w:divBdr>
                                                        <w:top w:val="none" w:sz="0" w:space="0" w:color="auto"/>
                                                        <w:left w:val="none" w:sz="0" w:space="0" w:color="auto"/>
                                                        <w:bottom w:val="none" w:sz="0" w:space="0" w:color="auto"/>
                                                        <w:right w:val="none" w:sz="0" w:space="0" w:color="auto"/>
                                                      </w:divBdr>
                                                    </w:div>
                                                    <w:div w:id="953050422">
                                                      <w:marLeft w:val="0"/>
                                                      <w:marRight w:val="0"/>
                                                      <w:marTop w:val="0"/>
                                                      <w:marBottom w:val="0"/>
                                                      <w:divBdr>
                                                        <w:top w:val="none" w:sz="0" w:space="0" w:color="auto"/>
                                                        <w:left w:val="none" w:sz="0" w:space="0" w:color="auto"/>
                                                        <w:bottom w:val="none" w:sz="0" w:space="0" w:color="auto"/>
                                                        <w:right w:val="none" w:sz="0" w:space="0" w:color="auto"/>
                                                      </w:divBdr>
                                                    </w:div>
                                                    <w:div w:id="2108500041">
                                                      <w:marLeft w:val="0"/>
                                                      <w:marRight w:val="0"/>
                                                      <w:marTop w:val="0"/>
                                                      <w:marBottom w:val="0"/>
                                                      <w:divBdr>
                                                        <w:top w:val="none" w:sz="0" w:space="0" w:color="auto"/>
                                                        <w:left w:val="none" w:sz="0" w:space="0" w:color="auto"/>
                                                        <w:bottom w:val="none" w:sz="0" w:space="0" w:color="auto"/>
                                                        <w:right w:val="none" w:sz="0" w:space="0" w:color="auto"/>
                                                      </w:divBdr>
                                                    </w:div>
                                                    <w:div w:id="1300183115">
                                                      <w:marLeft w:val="0"/>
                                                      <w:marRight w:val="0"/>
                                                      <w:marTop w:val="0"/>
                                                      <w:marBottom w:val="0"/>
                                                      <w:divBdr>
                                                        <w:top w:val="none" w:sz="0" w:space="0" w:color="auto"/>
                                                        <w:left w:val="none" w:sz="0" w:space="0" w:color="auto"/>
                                                        <w:bottom w:val="none" w:sz="0" w:space="0" w:color="auto"/>
                                                        <w:right w:val="none" w:sz="0" w:space="0" w:color="auto"/>
                                                      </w:divBdr>
                                                    </w:div>
                                                    <w:div w:id="30768728">
                                                      <w:marLeft w:val="0"/>
                                                      <w:marRight w:val="0"/>
                                                      <w:marTop w:val="0"/>
                                                      <w:marBottom w:val="0"/>
                                                      <w:divBdr>
                                                        <w:top w:val="none" w:sz="0" w:space="0" w:color="auto"/>
                                                        <w:left w:val="none" w:sz="0" w:space="0" w:color="auto"/>
                                                        <w:bottom w:val="none" w:sz="0" w:space="0" w:color="auto"/>
                                                        <w:right w:val="none" w:sz="0" w:space="0" w:color="auto"/>
                                                      </w:divBdr>
                                                    </w:div>
                                                    <w:div w:id="521361439">
                                                      <w:marLeft w:val="0"/>
                                                      <w:marRight w:val="0"/>
                                                      <w:marTop w:val="0"/>
                                                      <w:marBottom w:val="0"/>
                                                      <w:divBdr>
                                                        <w:top w:val="none" w:sz="0" w:space="0" w:color="auto"/>
                                                        <w:left w:val="none" w:sz="0" w:space="0" w:color="auto"/>
                                                        <w:bottom w:val="none" w:sz="0" w:space="0" w:color="auto"/>
                                                        <w:right w:val="none" w:sz="0" w:space="0" w:color="auto"/>
                                                      </w:divBdr>
                                                    </w:div>
                                                    <w:div w:id="1692536212">
                                                      <w:marLeft w:val="0"/>
                                                      <w:marRight w:val="0"/>
                                                      <w:marTop w:val="0"/>
                                                      <w:marBottom w:val="0"/>
                                                      <w:divBdr>
                                                        <w:top w:val="none" w:sz="0" w:space="0" w:color="auto"/>
                                                        <w:left w:val="none" w:sz="0" w:space="0" w:color="auto"/>
                                                        <w:bottom w:val="none" w:sz="0" w:space="0" w:color="auto"/>
                                                        <w:right w:val="none" w:sz="0" w:space="0" w:color="auto"/>
                                                      </w:divBdr>
                                                    </w:div>
                                                    <w:div w:id="1925456036">
                                                      <w:marLeft w:val="0"/>
                                                      <w:marRight w:val="0"/>
                                                      <w:marTop w:val="0"/>
                                                      <w:marBottom w:val="0"/>
                                                      <w:divBdr>
                                                        <w:top w:val="none" w:sz="0" w:space="0" w:color="auto"/>
                                                        <w:left w:val="none" w:sz="0" w:space="0" w:color="auto"/>
                                                        <w:bottom w:val="none" w:sz="0" w:space="0" w:color="auto"/>
                                                        <w:right w:val="none" w:sz="0" w:space="0" w:color="auto"/>
                                                      </w:divBdr>
                                                    </w:div>
                                                    <w:div w:id="1243376445">
                                                      <w:marLeft w:val="0"/>
                                                      <w:marRight w:val="0"/>
                                                      <w:marTop w:val="0"/>
                                                      <w:marBottom w:val="0"/>
                                                      <w:divBdr>
                                                        <w:top w:val="none" w:sz="0" w:space="0" w:color="auto"/>
                                                        <w:left w:val="none" w:sz="0" w:space="0" w:color="auto"/>
                                                        <w:bottom w:val="none" w:sz="0" w:space="0" w:color="auto"/>
                                                        <w:right w:val="none" w:sz="0" w:space="0" w:color="auto"/>
                                                      </w:divBdr>
                                                    </w:div>
                                                    <w:div w:id="805393100">
                                                      <w:marLeft w:val="0"/>
                                                      <w:marRight w:val="0"/>
                                                      <w:marTop w:val="0"/>
                                                      <w:marBottom w:val="0"/>
                                                      <w:divBdr>
                                                        <w:top w:val="none" w:sz="0" w:space="0" w:color="auto"/>
                                                        <w:left w:val="none" w:sz="0" w:space="0" w:color="auto"/>
                                                        <w:bottom w:val="none" w:sz="0" w:space="0" w:color="auto"/>
                                                        <w:right w:val="none" w:sz="0" w:space="0" w:color="auto"/>
                                                      </w:divBdr>
                                                    </w:div>
                                                    <w:div w:id="2048867690">
                                                      <w:marLeft w:val="0"/>
                                                      <w:marRight w:val="0"/>
                                                      <w:marTop w:val="0"/>
                                                      <w:marBottom w:val="0"/>
                                                      <w:divBdr>
                                                        <w:top w:val="none" w:sz="0" w:space="0" w:color="auto"/>
                                                        <w:left w:val="none" w:sz="0" w:space="0" w:color="auto"/>
                                                        <w:bottom w:val="none" w:sz="0" w:space="0" w:color="auto"/>
                                                        <w:right w:val="none" w:sz="0" w:space="0" w:color="auto"/>
                                                      </w:divBdr>
                                                    </w:div>
                                                    <w:div w:id="643197110">
                                                      <w:marLeft w:val="0"/>
                                                      <w:marRight w:val="0"/>
                                                      <w:marTop w:val="0"/>
                                                      <w:marBottom w:val="0"/>
                                                      <w:divBdr>
                                                        <w:top w:val="none" w:sz="0" w:space="0" w:color="auto"/>
                                                        <w:left w:val="none" w:sz="0" w:space="0" w:color="auto"/>
                                                        <w:bottom w:val="none" w:sz="0" w:space="0" w:color="auto"/>
                                                        <w:right w:val="none" w:sz="0" w:space="0" w:color="auto"/>
                                                      </w:divBdr>
                                                    </w:div>
                                                    <w:div w:id="668796937">
                                                      <w:marLeft w:val="0"/>
                                                      <w:marRight w:val="0"/>
                                                      <w:marTop w:val="0"/>
                                                      <w:marBottom w:val="0"/>
                                                      <w:divBdr>
                                                        <w:top w:val="none" w:sz="0" w:space="0" w:color="auto"/>
                                                        <w:left w:val="none" w:sz="0" w:space="0" w:color="auto"/>
                                                        <w:bottom w:val="none" w:sz="0" w:space="0" w:color="auto"/>
                                                        <w:right w:val="none" w:sz="0" w:space="0" w:color="auto"/>
                                                      </w:divBdr>
                                                    </w:div>
                                                    <w:div w:id="1220095013">
                                                      <w:marLeft w:val="0"/>
                                                      <w:marRight w:val="0"/>
                                                      <w:marTop w:val="0"/>
                                                      <w:marBottom w:val="0"/>
                                                      <w:divBdr>
                                                        <w:top w:val="none" w:sz="0" w:space="0" w:color="auto"/>
                                                        <w:left w:val="none" w:sz="0" w:space="0" w:color="auto"/>
                                                        <w:bottom w:val="none" w:sz="0" w:space="0" w:color="auto"/>
                                                        <w:right w:val="none" w:sz="0" w:space="0" w:color="auto"/>
                                                      </w:divBdr>
                                                    </w:div>
                                                    <w:div w:id="274217670">
                                                      <w:marLeft w:val="0"/>
                                                      <w:marRight w:val="0"/>
                                                      <w:marTop w:val="0"/>
                                                      <w:marBottom w:val="0"/>
                                                      <w:divBdr>
                                                        <w:top w:val="none" w:sz="0" w:space="0" w:color="auto"/>
                                                        <w:left w:val="none" w:sz="0" w:space="0" w:color="auto"/>
                                                        <w:bottom w:val="none" w:sz="0" w:space="0" w:color="auto"/>
                                                        <w:right w:val="none" w:sz="0" w:space="0" w:color="auto"/>
                                                      </w:divBdr>
                                                    </w:div>
                                                    <w:div w:id="1273048340">
                                                      <w:marLeft w:val="0"/>
                                                      <w:marRight w:val="0"/>
                                                      <w:marTop w:val="0"/>
                                                      <w:marBottom w:val="0"/>
                                                      <w:divBdr>
                                                        <w:top w:val="none" w:sz="0" w:space="0" w:color="auto"/>
                                                        <w:left w:val="none" w:sz="0" w:space="0" w:color="auto"/>
                                                        <w:bottom w:val="none" w:sz="0" w:space="0" w:color="auto"/>
                                                        <w:right w:val="none" w:sz="0" w:space="0" w:color="auto"/>
                                                      </w:divBdr>
                                                    </w:div>
                                                    <w:div w:id="1692296932">
                                                      <w:marLeft w:val="0"/>
                                                      <w:marRight w:val="0"/>
                                                      <w:marTop w:val="0"/>
                                                      <w:marBottom w:val="0"/>
                                                      <w:divBdr>
                                                        <w:top w:val="none" w:sz="0" w:space="0" w:color="auto"/>
                                                        <w:left w:val="none" w:sz="0" w:space="0" w:color="auto"/>
                                                        <w:bottom w:val="none" w:sz="0" w:space="0" w:color="auto"/>
                                                        <w:right w:val="none" w:sz="0" w:space="0" w:color="auto"/>
                                                      </w:divBdr>
                                                    </w:div>
                                                    <w:div w:id="627584993">
                                                      <w:marLeft w:val="0"/>
                                                      <w:marRight w:val="0"/>
                                                      <w:marTop w:val="0"/>
                                                      <w:marBottom w:val="0"/>
                                                      <w:divBdr>
                                                        <w:top w:val="none" w:sz="0" w:space="0" w:color="auto"/>
                                                        <w:left w:val="none" w:sz="0" w:space="0" w:color="auto"/>
                                                        <w:bottom w:val="none" w:sz="0" w:space="0" w:color="auto"/>
                                                        <w:right w:val="none" w:sz="0" w:space="0" w:color="auto"/>
                                                      </w:divBdr>
                                                    </w:div>
                                                    <w:div w:id="2023774123">
                                                      <w:marLeft w:val="0"/>
                                                      <w:marRight w:val="0"/>
                                                      <w:marTop w:val="0"/>
                                                      <w:marBottom w:val="0"/>
                                                      <w:divBdr>
                                                        <w:top w:val="none" w:sz="0" w:space="0" w:color="auto"/>
                                                        <w:left w:val="none" w:sz="0" w:space="0" w:color="auto"/>
                                                        <w:bottom w:val="none" w:sz="0" w:space="0" w:color="auto"/>
                                                        <w:right w:val="none" w:sz="0" w:space="0" w:color="auto"/>
                                                      </w:divBdr>
                                                    </w:div>
                                                    <w:div w:id="1809275122">
                                                      <w:marLeft w:val="0"/>
                                                      <w:marRight w:val="0"/>
                                                      <w:marTop w:val="0"/>
                                                      <w:marBottom w:val="0"/>
                                                      <w:divBdr>
                                                        <w:top w:val="none" w:sz="0" w:space="0" w:color="auto"/>
                                                        <w:left w:val="none" w:sz="0" w:space="0" w:color="auto"/>
                                                        <w:bottom w:val="none" w:sz="0" w:space="0" w:color="auto"/>
                                                        <w:right w:val="none" w:sz="0" w:space="0" w:color="auto"/>
                                                      </w:divBdr>
                                                    </w:div>
                                                    <w:div w:id="1472943185">
                                                      <w:marLeft w:val="0"/>
                                                      <w:marRight w:val="0"/>
                                                      <w:marTop w:val="0"/>
                                                      <w:marBottom w:val="0"/>
                                                      <w:divBdr>
                                                        <w:top w:val="none" w:sz="0" w:space="0" w:color="auto"/>
                                                        <w:left w:val="none" w:sz="0" w:space="0" w:color="auto"/>
                                                        <w:bottom w:val="none" w:sz="0" w:space="0" w:color="auto"/>
                                                        <w:right w:val="none" w:sz="0" w:space="0" w:color="auto"/>
                                                      </w:divBdr>
                                                    </w:div>
                                                    <w:div w:id="395932351">
                                                      <w:marLeft w:val="0"/>
                                                      <w:marRight w:val="0"/>
                                                      <w:marTop w:val="0"/>
                                                      <w:marBottom w:val="0"/>
                                                      <w:divBdr>
                                                        <w:top w:val="none" w:sz="0" w:space="0" w:color="auto"/>
                                                        <w:left w:val="none" w:sz="0" w:space="0" w:color="auto"/>
                                                        <w:bottom w:val="none" w:sz="0" w:space="0" w:color="auto"/>
                                                        <w:right w:val="none" w:sz="0" w:space="0" w:color="auto"/>
                                                      </w:divBdr>
                                                    </w:div>
                                                    <w:div w:id="1046445318">
                                                      <w:marLeft w:val="0"/>
                                                      <w:marRight w:val="0"/>
                                                      <w:marTop w:val="0"/>
                                                      <w:marBottom w:val="0"/>
                                                      <w:divBdr>
                                                        <w:top w:val="none" w:sz="0" w:space="0" w:color="auto"/>
                                                        <w:left w:val="none" w:sz="0" w:space="0" w:color="auto"/>
                                                        <w:bottom w:val="none" w:sz="0" w:space="0" w:color="auto"/>
                                                        <w:right w:val="none" w:sz="0" w:space="0" w:color="auto"/>
                                                      </w:divBdr>
                                                    </w:div>
                                                    <w:div w:id="1904171811">
                                                      <w:marLeft w:val="0"/>
                                                      <w:marRight w:val="0"/>
                                                      <w:marTop w:val="0"/>
                                                      <w:marBottom w:val="0"/>
                                                      <w:divBdr>
                                                        <w:top w:val="none" w:sz="0" w:space="0" w:color="auto"/>
                                                        <w:left w:val="none" w:sz="0" w:space="0" w:color="auto"/>
                                                        <w:bottom w:val="none" w:sz="0" w:space="0" w:color="auto"/>
                                                        <w:right w:val="none" w:sz="0" w:space="0" w:color="auto"/>
                                                      </w:divBdr>
                                                    </w:div>
                                                    <w:div w:id="545945975">
                                                      <w:marLeft w:val="0"/>
                                                      <w:marRight w:val="0"/>
                                                      <w:marTop w:val="0"/>
                                                      <w:marBottom w:val="0"/>
                                                      <w:divBdr>
                                                        <w:top w:val="none" w:sz="0" w:space="0" w:color="auto"/>
                                                        <w:left w:val="none" w:sz="0" w:space="0" w:color="auto"/>
                                                        <w:bottom w:val="none" w:sz="0" w:space="0" w:color="auto"/>
                                                        <w:right w:val="none" w:sz="0" w:space="0" w:color="auto"/>
                                                      </w:divBdr>
                                                    </w:div>
                                                    <w:div w:id="2053923531">
                                                      <w:marLeft w:val="0"/>
                                                      <w:marRight w:val="0"/>
                                                      <w:marTop w:val="0"/>
                                                      <w:marBottom w:val="0"/>
                                                      <w:divBdr>
                                                        <w:top w:val="none" w:sz="0" w:space="0" w:color="auto"/>
                                                        <w:left w:val="none" w:sz="0" w:space="0" w:color="auto"/>
                                                        <w:bottom w:val="none" w:sz="0" w:space="0" w:color="auto"/>
                                                        <w:right w:val="none" w:sz="0" w:space="0" w:color="auto"/>
                                                      </w:divBdr>
                                                    </w:div>
                                                    <w:div w:id="939069669">
                                                      <w:marLeft w:val="0"/>
                                                      <w:marRight w:val="0"/>
                                                      <w:marTop w:val="0"/>
                                                      <w:marBottom w:val="0"/>
                                                      <w:divBdr>
                                                        <w:top w:val="none" w:sz="0" w:space="0" w:color="auto"/>
                                                        <w:left w:val="none" w:sz="0" w:space="0" w:color="auto"/>
                                                        <w:bottom w:val="none" w:sz="0" w:space="0" w:color="auto"/>
                                                        <w:right w:val="none" w:sz="0" w:space="0" w:color="auto"/>
                                                      </w:divBdr>
                                                    </w:div>
                                                    <w:div w:id="769810410">
                                                      <w:marLeft w:val="0"/>
                                                      <w:marRight w:val="0"/>
                                                      <w:marTop w:val="0"/>
                                                      <w:marBottom w:val="0"/>
                                                      <w:divBdr>
                                                        <w:top w:val="none" w:sz="0" w:space="0" w:color="auto"/>
                                                        <w:left w:val="none" w:sz="0" w:space="0" w:color="auto"/>
                                                        <w:bottom w:val="none" w:sz="0" w:space="0" w:color="auto"/>
                                                        <w:right w:val="none" w:sz="0" w:space="0" w:color="auto"/>
                                                      </w:divBdr>
                                                    </w:div>
                                                    <w:div w:id="630212120">
                                                      <w:marLeft w:val="0"/>
                                                      <w:marRight w:val="0"/>
                                                      <w:marTop w:val="0"/>
                                                      <w:marBottom w:val="0"/>
                                                      <w:divBdr>
                                                        <w:top w:val="none" w:sz="0" w:space="0" w:color="auto"/>
                                                        <w:left w:val="none" w:sz="0" w:space="0" w:color="auto"/>
                                                        <w:bottom w:val="none" w:sz="0" w:space="0" w:color="auto"/>
                                                        <w:right w:val="none" w:sz="0" w:space="0" w:color="auto"/>
                                                      </w:divBdr>
                                                    </w:div>
                                                    <w:div w:id="283386786">
                                                      <w:marLeft w:val="0"/>
                                                      <w:marRight w:val="0"/>
                                                      <w:marTop w:val="0"/>
                                                      <w:marBottom w:val="0"/>
                                                      <w:divBdr>
                                                        <w:top w:val="none" w:sz="0" w:space="0" w:color="auto"/>
                                                        <w:left w:val="none" w:sz="0" w:space="0" w:color="auto"/>
                                                        <w:bottom w:val="none" w:sz="0" w:space="0" w:color="auto"/>
                                                        <w:right w:val="none" w:sz="0" w:space="0" w:color="auto"/>
                                                      </w:divBdr>
                                                    </w:div>
                                                    <w:div w:id="108817158">
                                                      <w:marLeft w:val="0"/>
                                                      <w:marRight w:val="0"/>
                                                      <w:marTop w:val="0"/>
                                                      <w:marBottom w:val="0"/>
                                                      <w:divBdr>
                                                        <w:top w:val="none" w:sz="0" w:space="0" w:color="auto"/>
                                                        <w:left w:val="none" w:sz="0" w:space="0" w:color="auto"/>
                                                        <w:bottom w:val="none" w:sz="0" w:space="0" w:color="auto"/>
                                                        <w:right w:val="none" w:sz="0" w:space="0" w:color="auto"/>
                                                      </w:divBdr>
                                                    </w:div>
                                                    <w:div w:id="1839154154">
                                                      <w:marLeft w:val="0"/>
                                                      <w:marRight w:val="0"/>
                                                      <w:marTop w:val="0"/>
                                                      <w:marBottom w:val="0"/>
                                                      <w:divBdr>
                                                        <w:top w:val="none" w:sz="0" w:space="0" w:color="auto"/>
                                                        <w:left w:val="none" w:sz="0" w:space="0" w:color="auto"/>
                                                        <w:bottom w:val="none" w:sz="0" w:space="0" w:color="auto"/>
                                                        <w:right w:val="none" w:sz="0" w:space="0" w:color="auto"/>
                                                      </w:divBdr>
                                                    </w:div>
                                                    <w:div w:id="178202668">
                                                      <w:marLeft w:val="0"/>
                                                      <w:marRight w:val="0"/>
                                                      <w:marTop w:val="0"/>
                                                      <w:marBottom w:val="0"/>
                                                      <w:divBdr>
                                                        <w:top w:val="none" w:sz="0" w:space="0" w:color="auto"/>
                                                        <w:left w:val="none" w:sz="0" w:space="0" w:color="auto"/>
                                                        <w:bottom w:val="none" w:sz="0" w:space="0" w:color="auto"/>
                                                        <w:right w:val="none" w:sz="0" w:space="0" w:color="auto"/>
                                                      </w:divBdr>
                                                    </w:div>
                                                    <w:div w:id="1012950466">
                                                      <w:marLeft w:val="0"/>
                                                      <w:marRight w:val="0"/>
                                                      <w:marTop w:val="0"/>
                                                      <w:marBottom w:val="0"/>
                                                      <w:divBdr>
                                                        <w:top w:val="none" w:sz="0" w:space="0" w:color="auto"/>
                                                        <w:left w:val="none" w:sz="0" w:space="0" w:color="auto"/>
                                                        <w:bottom w:val="none" w:sz="0" w:space="0" w:color="auto"/>
                                                        <w:right w:val="none" w:sz="0" w:space="0" w:color="auto"/>
                                                      </w:divBdr>
                                                    </w:div>
                                                    <w:div w:id="1646544040">
                                                      <w:marLeft w:val="0"/>
                                                      <w:marRight w:val="0"/>
                                                      <w:marTop w:val="0"/>
                                                      <w:marBottom w:val="0"/>
                                                      <w:divBdr>
                                                        <w:top w:val="none" w:sz="0" w:space="0" w:color="auto"/>
                                                        <w:left w:val="none" w:sz="0" w:space="0" w:color="auto"/>
                                                        <w:bottom w:val="none" w:sz="0" w:space="0" w:color="auto"/>
                                                        <w:right w:val="none" w:sz="0" w:space="0" w:color="auto"/>
                                                      </w:divBdr>
                                                    </w:div>
                                                    <w:div w:id="312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22718</Words>
  <Characters>124949</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7</cp:revision>
  <dcterms:created xsi:type="dcterms:W3CDTF">2019-02-05T11:42:00Z</dcterms:created>
  <dcterms:modified xsi:type="dcterms:W3CDTF">2019-02-05T16:46:00Z</dcterms:modified>
</cp:coreProperties>
</file>