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F59" w:rsidRPr="00CC09B7" w:rsidRDefault="002C3F59" w:rsidP="00CC09B7">
      <w:pPr>
        <w:spacing w:after="100" w:line="240" w:lineRule="auto"/>
        <w:jc w:val="center"/>
        <w:rPr>
          <w:rFonts w:ascii="Arial" w:eastAsia="Times New Roman" w:hAnsi="Arial" w:cs="Arial"/>
          <w:color w:val="000000"/>
          <w:sz w:val="48"/>
          <w:szCs w:val="48"/>
          <w:u w:val="single"/>
          <w:lang w:eastAsia="es-ES"/>
        </w:rPr>
      </w:pPr>
      <w:bookmarkStart w:id="0" w:name="_GoBack"/>
      <w:bookmarkEnd w:id="0"/>
      <w:r w:rsidRPr="00CC09B7">
        <w:rPr>
          <w:rFonts w:ascii="Arial" w:eastAsia="Times New Roman" w:hAnsi="Arial" w:cs="Arial"/>
          <w:b/>
          <w:bCs/>
          <w:color w:val="FF0000"/>
          <w:sz w:val="48"/>
          <w:szCs w:val="48"/>
          <w:u w:val="single"/>
          <w:lang w:eastAsia="es-ES"/>
        </w:rPr>
        <w:t>NOVEDADES EN MATERIA DE PENSIONES PARA 2020</w:t>
      </w:r>
    </w:p>
    <w:p w:rsidR="002C3F59" w:rsidRDefault="002C3F59" w:rsidP="002C3F59">
      <w:pPr>
        <w:spacing w:after="100" w:line="240" w:lineRule="auto"/>
        <w:jc w:val="both"/>
        <w:rPr>
          <w:rFonts w:ascii="Arial" w:eastAsia="Times New Roman" w:hAnsi="Arial" w:cs="Arial"/>
          <w:color w:val="000000"/>
          <w:sz w:val="20"/>
          <w:szCs w:val="20"/>
          <w:lang w:eastAsia="es-ES"/>
        </w:rPr>
      </w:pP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Con el cambio de año y la llegada del nuevo Gobierno surgen cambios normativos en materia de pensiones.</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Desde la Ley 27/2011, que abrió un periodo transitorio de reformas en materia jubilación, se producen cambios en el régimen jurídico de la pensión de jubilación cada 1 de enero. Resumimos los aspectos más destacados en este sentido:</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b/>
          <w:bCs/>
          <w:color w:val="000000"/>
          <w:sz w:val="28"/>
          <w:szCs w:val="28"/>
          <w:u w:val="single"/>
          <w:lang w:eastAsia="es-ES"/>
        </w:rPr>
        <w:t>Aumenta la edad de jubilación ordinaria</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Durante 2020, solo quienes hayan cotizado </w:t>
      </w:r>
      <w:r w:rsidRPr="00CC09B7">
        <w:rPr>
          <w:rFonts w:ascii="Arial" w:eastAsia="Times New Roman" w:hAnsi="Arial" w:cs="Arial"/>
          <w:color w:val="000000"/>
          <w:sz w:val="28"/>
          <w:szCs w:val="28"/>
          <w:u w:val="single"/>
          <w:lang w:eastAsia="es-ES"/>
        </w:rPr>
        <w:t>37 años o más</w:t>
      </w:r>
      <w:r w:rsidRPr="00CC09B7">
        <w:rPr>
          <w:rFonts w:ascii="Arial" w:eastAsia="Times New Roman" w:hAnsi="Arial" w:cs="Arial"/>
          <w:color w:val="000000"/>
          <w:sz w:val="28"/>
          <w:szCs w:val="28"/>
          <w:lang w:eastAsia="es-ES"/>
        </w:rPr>
        <w:t xml:space="preserve"> podrán jubilarse con </w:t>
      </w:r>
      <w:r w:rsidRPr="00CC09B7">
        <w:rPr>
          <w:rFonts w:ascii="Arial" w:eastAsia="Times New Roman" w:hAnsi="Arial" w:cs="Arial"/>
          <w:color w:val="000000"/>
          <w:sz w:val="28"/>
          <w:szCs w:val="28"/>
          <w:u w:val="single"/>
          <w:lang w:eastAsia="es-ES"/>
        </w:rPr>
        <w:t>65 años</w:t>
      </w:r>
      <w:r w:rsidRPr="00CC09B7">
        <w:rPr>
          <w:rFonts w:ascii="Arial" w:eastAsia="Times New Roman" w:hAnsi="Arial" w:cs="Arial"/>
          <w:color w:val="000000"/>
          <w:sz w:val="28"/>
          <w:szCs w:val="28"/>
          <w:lang w:eastAsia="es-ES"/>
        </w:rPr>
        <w:t xml:space="preserve"> sin penalizaciones en su cuantía. Quienes no hayan llegado a </w:t>
      </w:r>
      <w:r w:rsidRPr="00CC09B7">
        <w:rPr>
          <w:rFonts w:ascii="Arial" w:eastAsia="Times New Roman" w:hAnsi="Arial" w:cs="Arial"/>
          <w:color w:val="000000"/>
          <w:sz w:val="28"/>
          <w:szCs w:val="28"/>
          <w:u w:val="single"/>
          <w:lang w:eastAsia="es-ES"/>
        </w:rPr>
        <w:t>37 años</w:t>
      </w:r>
      <w:r w:rsidRPr="00CC09B7">
        <w:rPr>
          <w:rFonts w:ascii="Arial" w:eastAsia="Times New Roman" w:hAnsi="Arial" w:cs="Arial"/>
          <w:color w:val="000000"/>
          <w:sz w:val="28"/>
          <w:szCs w:val="28"/>
          <w:lang w:eastAsia="es-ES"/>
        </w:rPr>
        <w:t xml:space="preserve"> cotizados, sólo podrán jubilarse ordinariamente si han cumplido </w:t>
      </w:r>
      <w:r w:rsidRPr="00CC09B7">
        <w:rPr>
          <w:rFonts w:ascii="Arial" w:eastAsia="Times New Roman" w:hAnsi="Arial" w:cs="Arial"/>
          <w:color w:val="000000"/>
          <w:sz w:val="28"/>
          <w:szCs w:val="28"/>
          <w:u w:val="single"/>
          <w:lang w:eastAsia="es-ES"/>
        </w:rPr>
        <w:t>65 años y 10 meses</w:t>
      </w:r>
      <w:r w:rsidRPr="00CC09B7">
        <w:rPr>
          <w:rFonts w:ascii="Arial" w:eastAsia="Times New Roman" w:hAnsi="Arial" w:cs="Arial"/>
          <w:color w:val="000000"/>
          <w:sz w:val="28"/>
          <w:szCs w:val="28"/>
          <w:lang w:eastAsia="es-ES"/>
        </w:rPr>
        <w:t xml:space="preserve">, frente a los </w:t>
      </w:r>
      <w:r w:rsidRPr="00CC09B7">
        <w:rPr>
          <w:rFonts w:ascii="Arial" w:eastAsia="Times New Roman" w:hAnsi="Arial" w:cs="Arial"/>
          <w:color w:val="000000"/>
          <w:sz w:val="28"/>
          <w:szCs w:val="28"/>
          <w:u w:val="single"/>
          <w:lang w:eastAsia="es-ES"/>
        </w:rPr>
        <w:t>65 años y 8 meses</w:t>
      </w:r>
      <w:r w:rsidRPr="00CC09B7">
        <w:rPr>
          <w:rFonts w:ascii="Arial" w:eastAsia="Times New Roman" w:hAnsi="Arial" w:cs="Arial"/>
          <w:color w:val="000000"/>
          <w:sz w:val="28"/>
          <w:szCs w:val="28"/>
          <w:lang w:eastAsia="es-ES"/>
        </w:rPr>
        <w:t xml:space="preserve"> exigidos en 2019.</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b/>
          <w:bCs/>
          <w:color w:val="000000"/>
          <w:sz w:val="28"/>
          <w:szCs w:val="28"/>
          <w:u w:val="single"/>
          <w:lang w:eastAsia="es-ES"/>
        </w:rPr>
        <w:t>Cambios en los parámetros para calcular la cuantía de la pensión de jubilación</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La cuantía de la pensión de jubilación es el resultado de aplicar unos porcentajes a una base reguladora. Durante 2020, la base reguladora se calculará teniendo en cuenta los últimos </w:t>
      </w:r>
      <w:r w:rsidRPr="00CC09B7">
        <w:rPr>
          <w:rFonts w:ascii="Arial" w:eastAsia="Times New Roman" w:hAnsi="Arial" w:cs="Arial"/>
          <w:color w:val="000000"/>
          <w:sz w:val="28"/>
          <w:szCs w:val="28"/>
          <w:u w:val="single"/>
          <w:lang w:eastAsia="es-ES"/>
        </w:rPr>
        <w:t>23 años</w:t>
      </w:r>
      <w:r w:rsidRPr="00CC09B7">
        <w:rPr>
          <w:rFonts w:ascii="Arial" w:eastAsia="Times New Roman" w:hAnsi="Arial" w:cs="Arial"/>
          <w:color w:val="000000"/>
          <w:sz w:val="28"/>
          <w:szCs w:val="28"/>
          <w:lang w:eastAsia="es-ES"/>
        </w:rPr>
        <w:t xml:space="preserve"> cotizados inmediatamente anteriores al mes previo al de la jubilación. En particular, se tendrá en cuenta lo cotizado durante los últimos </w:t>
      </w:r>
      <w:r w:rsidRPr="00CC09B7">
        <w:rPr>
          <w:rFonts w:ascii="Arial" w:eastAsia="Times New Roman" w:hAnsi="Arial" w:cs="Arial"/>
          <w:color w:val="000000"/>
          <w:sz w:val="28"/>
          <w:szCs w:val="28"/>
          <w:u w:val="single"/>
          <w:lang w:eastAsia="es-ES"/>
        </w:rPr>
        <w:t>276 meses (23 años)</w:t>
      </w:r>
      <w:r w:rsidRPr="00CC09B7">
        <w:rPr>
          <w:rFonts w:ascii="Arial" w:eastAsia="Times New Roman" w:hAnsi="Arial" w:cs="Arial"/>
          <w:color w:val="000000"/>
          <w:sz w:val="28"/>
          <w:szCs w:val="28"/>
          <w:lang w:eastAsia="es-ES"/>
        </w:rPr>
        <w:t xml:space="preserve">, </w:t>
      </w:r>
      <w:r w:rsidRPr="00CC09B7">
        <w:rPr>
          <w:rFonts w:ascii="Arial" w:eastAsia="Times New Roman" w:hAnsi="Arial" w:cs="Arial"/>
          <w:color w:val="000000"/>
          <w:sz w:val="28"/>
          <w:szCs w:val="28"/>
          <w:u w:val="single"/>
          <w:lang w:eastAsia="es-ES"/>
        </w:rPr>
        <w:t>dividido por 322</w:t>
      </w:r>
      <w:r w:rsidRPr="00CC09B7">
        <w:rPr>
          <w:rFonts w:ascii="Arial" w:eastAsia="Times New Roman" w:hAnsi="Arial" w:cs="Arial"/>
          <w:color w:val="000000"/>
          <w:sz w:val="28"/>
          <w:szCs w:val="28"/>
          <w:lang w:eastAsia="es-ES"/>
        </w:rPr>
        <w:t>, para determinar la base reguladora teniendo en cuenta no sólo las 12 pagas ordinarias, sino también las 2 pagas extraordinarias que va a recibir el pensionista una vez jubilado.</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Determinada la base reguladora, se tienen que aplicar unos porcentajes sobre la misma, que darán lugar a la cuantía de la pensión. Durante 2020, se mantiene la regla que establece que a los </w:t>
      </w:r>
      <w:r w:rsidRPr="00CC09B7">
        <w:rPr>
          <w:rFonts w:ascii="Arial" w:eastAsia="Times New Roman" w:hAnsi="Arial" w:cs="Arial"/>
          <w:color w:val="000000"/>
          <w:sz w:val="28"/>
          <w:szCs w:val="28"/>
          <w:u w:val="single"/>
          <w:lang w:eastAsia="es-ES"/>
        </w:rPr>
        <w:t>primeros 15 años</w:t>
      </w:r>
      <w:r w:rsidRPr="00CC09B7">
        <w:rPr>
          <w:rFonts w:ascii="Arial" w:eastAsia="Times New Roman" w:hAnsi="Arial" w:cs="Arial"/>
          <w:color w:val="000000"/>
          <w:sz w:val="28"/>
          <w:szCs w:val="28"/>
          <w:lang w:eastAsia="es-ES"/>
        </w:rPr>
        <w:t xml:space="preserve"> cotizados se le aplicará un </w:t>
      </w:r>
      <w:r w:rsidRPr="00CC09B7">
        <w:rPr>
          <w:rFonts w:ascii="Arial" w:eastAsia="Times New Roman" w:hAnsi="Arial" w:cs="Arial"/>
          <w:color w:val="000000"/>
          <w:sz w:val="28"/>
          <w:szCs w:val="28"/>
          <w:u w:val="single"/>
          <w:lang w:eastAsia="es-ES"/>
        </w:rPr>
        <w:t>porcentaje del 50%</w:t>
      </w:r>
      <w:r w:rsidRPr="00CC09B7">
        <w:rPr>
          <w:rFonts w:ascii="Arial" w:eastAsia="Times New Roman" w:hAnsi="Arial" w:cs="Arial"/>
          <w:color w:val="000000"/>
          <w:sz w:val="28"/>
          <w:szCs w:val="28"/>
          <w:lang w:eastAsia="es-ES"/>
        </w:rPr>
        <w:t xml:space="preserve">. En cambio, cambian los porcentajes aplicables, para los años cotizados posteriores a los 15 primeros. En concreto, a cada mes adicional, </w:t>
      </w:r>
      <w:r w:rsidRPr="00CC09B7">
        <w:rPr>
          <w:rFonts w:ascii="Arial" w:eastAsia="Times New Roman" w:hAnsi="Arial" w:cs="Arial"/>
          <w:color w:val="000000"/>
          <w:sz w:val="28"/>
          <w:szCs w:val="28"/>
          <w:u w:val="single"/>
          <w:lang w:eastAsia="es-ES"/>
        </w:rPr>
        <w:t>entre los meses 1 y 106</w:t>
      </w:r>
      <w:r w:rsidRPr="00CC09B7">
        <w:rPr>
          <w:rFonts w:ascii="Arial" w:eastAsia="Times New Roman" w:hAnsi="Arial" w:cs="Arial"/>
          <w:color w:val="000000"/>
          <w:sz w:val="28"/>
          <w:szCs w:val="28"/>
          <w:lang w:eastAsia="es-ES"/>
        </w:rPr>
        <w:t xml:space="preserve">, al 50% se le añade </w:t>
      </w:r>
      <w:r w:rsidRPr="00CC09B7">
        <w:rPr>
          <w:rFonts w:ascii="Arial" w:eastAsia="Times New Roman" w:hAnsi="Arial" w:cs="Arial"/>
          <w:color w:val="000000"/>
          <w:sz w:val="28"/>
          <w:szCs w:val="28"/>
          <w:u w:val="single"/>
          <w:lang w:eastAsia="es-ES"/>
        </w:rPr>
        <w:t>un 0,21%</w:t>
      </w:r>
      <w:r w:rsidRPr="00CC09B7">
        <w:rPr>
          <w:rFonts w:ascii="Arial" w:eastAsia="Times New Roman" w:hAnsi="Arial" w:cs="Arial"/>
          <w:color w:val="000000"/>
          <w:sz w:val="28"/>
          <w:szCs w:val="28"/>
          <w:lang w:eastAsia="es-ES"/>
        </w:rPr>
        <w:t xml:space="preserve">, y por cada uno de los </w:t>
      </w:r>
      <w:r w:rsidRPr="00CC09B7">
        <w:rPr>
          <w:rFonts w:ascii="Arial" w:eastAsia="Times New Roman" w:hAnsi="Arial" w:cs="Arial"/>
          <w:color w:val="000000"/>
          <w:sz w:val="28"/>
          <w:szCs w:val="28"/>
          <w:u w:val="single"/>
          <w:lang w:eastAsia="es-ES"/>
        </w:rPr>
        <w:t>146 meses siguientes</w:t>
      </w:r>
      <w:r w:rsidRPr="00CC09B7">
        <w:rPr>
          <w:rFonts w:ascii="Arial" w:eastAsia="Times New Roman" w:hAnsi="Arial" w:cs="Arial"/>
          <w:color w:val="000000"/>
          <w:sz w:val="28"/>
          <w:szCs w:val="28"/>
          <w:lang w:eastAsia="es-ES"/>
        </w:rPr>
        <w:t xml:space="preserve">, se le añade </w:t>
      </w:r>
      <w:r w:rsidRPr="00CC09B7">
        <w:rPr>
          <w:rFonts w:ascii="Arial" w:eastAsia="Times New Roman" w:hAnsi="Arial" w:cs="Arial"/>
          <w:color w:val="000000"/>
          <w:sz w:val="28"/>
          <w:szCs w:val="28"/>
          <w:u w:val="single"/>
          <w:lang w:eastAsia="es-ES"/>
        </w:rPr>
        <w:t>un 0,19%</w:t>
      </w:r>
      <w:r w:rsidRPr="00CC09B7">
        <w:rPr>
          <w:rFonts w:ascii="Arial" w:eastAsia="Times New Roman" w:hAnsi="Arial" w:cs="Arial"/>
          <w:color w:val="000000"/>
          <w:sz w:val="28"/>
          <w:szCs w:val="28"/>
          <w:lang w:eastAsia="es-ES"/>
        </w:rPr>
        <w:t>.</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Las reglas anteriores provocan que, </w:t>
      </w:r>
      <w:r w:rsidRPr="00CC09B7">
        <w:rPr>
          <w:rFonts w:ascii="Arial" w:eastAsia="Times New Roman" w:hAnsi="Arial" w:cs="Arial"/>
          <w:color w:val="000000"/>
          <w:sz w:val="28"/>
          <w:szCs w:val="28"/>
          <w:u w:val="single"/>
          <w:lang w:eastAsia="es-ES"/>
        </w:rPr>
        <w:t>a partir de enero de 2020</w:t>
      </w:r>
      <w:r w:rsidRPr="00CC09B7">
        <w:rPr>
          <w:rFonts w:ascii="Arial" w:eastAsia="Times New Roman" w:hAnsi="Arial" w:cs="Arial"/>
          <w:color w:val="000000"/>
          <w:sz w:val="28"/>
          <w:szCs w:val="28"/>
          <w:lang w:eastAsia="es-ES"/>
        </w:rPr>
        <w:t xml:space="preserve">, son necesarios </w:t>
      </w:r>
      <w:r w:rsidRPr="00CC09B7">
        <w:rPr>
          <w:rFonts w:ascii="Arial" w:eastAsia="Times New Roman" w:hAnsi="Arial" w:cs="Arial"/>
          <w:color w:val="000000"/>
          <w:sz w:val="28"/>
          <w:szCs w:val="28"/>
          <w:u w:val="single"/>
          <w:lang w:eastAsia="es-ES"/>
        </w:rPr>
        <w:t>36 años cotizados</w:t>
      </w:r>
      <w:r w:rsidRPr="00CC09B7">
        <w:rPr>
          <w:rFonts w:ascii="Arial" w:eastAsia="Times New Roman" w:hAnsi="Arial" w:cs="Arial"/>
          <w:color w:val="000000"/>
          <w:sz w:val="28"/>
          <w:szCs w:val="28"/>
          <w:lang w:eastAsia="es-ES"/>
        </w:rPr>
        <w:t xml:space="preserve"> para alcanzar </w:t>
      </w:r>
      <w:r w:rsidRPr="00CC09B7">
        <w:rPr>
          <w:rFonts w:ascii="Arial" w:eastAsia="Times New Roman" w:hAnsi="Arial" w:cs="Arial"/>
          <w:color w:val="000000"/>
          <w:sz w:val="28"/>
          <w:szCs w:val="28"/>
          <w:u w:val="single"/>
          <w:lang w:eastAsia="es-ES"/>
        </w:rPr>
        <w:t>el 100%</w:t>
      </w:r>
      <w:r w:rsidRPr="00CC09B7">
        <w:rPr>
          <w:rFonts w:ascii="Arial" w:eastAsia="Times New Roman" w:hAnsi="Arial" w:cs="Arial"/>
          <w:color w:val="000000"/>
          <w:sz w:val="28"/>
          <w:szCs w:val="28"/>
          <w:lang w:eastAsia="es-ES"/>
        </w:rPr>
        <w:t xml:space="preserve"> de la pensión, frente a los </w:t>
      </w:r>
      <w:r w:rsidRPr="00CC09B7">
        <w:rPr>
          <w:rFonts w:ascii="Arial" w:eastAsia="Times New Roman" w:hAnsi="Arial" w:cs="Arial"/>
          <w:color w:val="000000"/>
          <w:sz w:val="28"/>
          <w:szCs w:val="28"/>
          <w:u w:val="single"/>
          <w:lang w:eastAsia="es-ES"/>
        </w:rPr>
        <w:t>35 años y 6 meses</w:t>
      </w:r>
      <w:r w:rsidRPr="00CC09B7">
        <w:rPr>
          <w:rFonts w:ascii="Arial" w:eastAsia="Times New Roman" w:hAnsi="Arial" w:cs="Arial"/>
          <w:color w:val="000000"/>
          <w:sz w:val="28"/>
          <w:szCs w:val="28"/>
          <w:lang w:eastAsia="es-ES"/>
        </w:rPr>
        <w:t xml:space="preserve"> requeridos en el periodo 2013-2019.</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b/>
          <w:bCs/>
          <w:color w:val="000000"/>
          <w:sz w:val="28"/>
          <w:szCs w:val="28"/>
          <w:u w:val="single"/>
          <w:lang w:eastAsia="es-ES"/>
        </w:rPr>
        <w:t>Sigue suspendida la aplicación del Factor de Sostenibilidad</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La reforma de 2013, con el objetivo de vincular la cuantía de las pensiones a la esperanza de vida, introdujo el llamado factor de sostenibilidad que debía llevar a que, tras calcular la cuantía de pensión jubilación (base reguladora y porcentajes), se aplicasen algunos porcentajes reductores. Esto iba a entrar en vigor en enero de 2019, pero sigue suspendido al no haberse tomado ninguna decisión al respecto en la Comisión del Pacto de Toledo del Congreso de Diputados. Como fecha límite de esta suspensión se prevé el 1-1-2023.</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b/>
          <w:bCs/>
          <w:color w:val="000000"/>
          <w:sz w:val="28"/>
          <w:szCs w:val="28"/>
          <w:u w:val="single"/>
          <w:lang w:eastAsia="es-ES"/>
        </w:rPr>
        <w:t>Revalorización de las pensiones y sus cuantías mínimas.</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Junto con los cambios ya previstos en las normas vigentes, habitualmente se producen otras novedades con el cambio de año que requieren de la aprobación de ciertas normas. Sin embargo, dado el retraso en la formación de Gobierno, el inicio de este 2020 ha venido marcado por una situación un tanto particular. Los efectos más reseñables de ello en cuanto a las cuantías de las pensiones son:</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 </w:t>
      </w:r>
      <w:r w:rsidRPr="00CC09B7">
        <w:rPr>
          <w:rFonts w:ascii="Arial" w:eastAsia="Times New Roman" w:hAnsi="Arial" w:cs="Arial"/>
          <w:color w:val="000000"/>
          <w:sz w:val="28"/>
          <w:szCs w:val="28"/>
          <w:u w:val="single"/>
          <w:lang w:eastAsia="es-ES"/>
        </w:rPr>
        <w:t>Se pospone la reforma sobre la revalorización de las pensiones</w:t>
      </w:r>
      <w:r w:rsidRPr="00CC09B7">
        <w:rPr>
          <w:rFonts w:ascii="Arial" w:eastAsia="Times New Roman" w:hAnsi="Arial" w:cs="Arial"/>
          <w:color w:val="000000"/>
          <w:sz w:val="28"/>
          <w:szCs w:val="28"/>
          <w:lang w:eastAsia="es-ES"/>
        </w:rPr>
        <w:t xml:space="preserve">. </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Para 2018 y 2019 quedó suspendida la aplicación de la reforma que llevaba a una revalorización del 0,25% (el conocido IRP - </w:t>
      </w:r>
      <w:r w:rsidR="00CC09B7" w:rsidRPr="00CC09B7">
        <w:rPr>
          <w:rFonts w:ascii="Arial" w:eastAsia="Times New Roman" w:hAnsi="Arial" w:cs="Arial"/>
          <w:color w:val="000000"/>
          <w:sz w:val="28"/>
          <w:szCs w:val="28"/>
          <w:lang w:eastAsia="es-ES"/>
        </w:rPr>
        <w:t>Índice</w:t>
      </w:r>
      <w:r w:rsidRPr="00CC09B7">
        <w:rPr>
          <w:rFonts w:ascii="Arial" w:eastAsia="Times New Roman" w:hAnsi="Arial" w:cs="Arial"/>
          <w:color w:val="000000"/>
          <w:sz w:val="28"/>
          <w:szCs w:val="28"/>
          <w:lang w:eastAsia="es-ES"/>
        </w:rPr>
        <w:t xml:space="preserve"> de Revalorización de las Pensiones -). En 2020 dejaba de estar vigente esta suspensión. Sin embargo, el Gobierno ha aprobado en el último momento (27 de diciembre) un Real Decreto-Ley que ha dado lugar a una situación que cabe calificar, cuanto menos, de extraña. Se ha vuelto a suspender la aplicación de la norma que debía llevar a la subida del </w:t>
      </w:r>
      <w:r w:rsidRPr="00CC09B7">
        <w:rPr>
          <w:rFonts w:ascii="Arial" w:eastAsia="Times New Roman" w:hAnsi="Arial" w:cs="Arial"/>
          <w:b/>
          <w:bCs/>
          <w:color w:val="000000"/>
          <w:sz w:val="28"/>
          <w:szCs w:val="28"/>
          <w:lang w:eastAsia="es-ES"/>
        </w:rPr>
        <w:t>0,25%</w:t>
      </w:r>
      <w:r w:rsidRPr="00CC09B7">
        <w:rPr>
          <w:rFonts w:ascii="Arial" w:eastAsia="Times New Roman" w:hAnsi="Arial" w:cs="Arial"/>
          <w:color w:val="000000"/>
          <w:sz w:val="28"/>
          <w:szCs w:val="28"/>
          <w:lang w:eastAsia="es-ES"/>
        </w:rPr>
        <w:t xml:space="preserve">, pero el citado Real Decreto-Ley no introducía ninguna otra revalorización. </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Asimismo, en el acuerdo de Gobierno PSOE-Unidas Podemos consta que se derogarán legalmente tanto el IRP como el Factor de Sostenibilidad, que constituyeron las principales novedades introducidas por el PP en su reforma unilateral de 2013. Por otra parte, tras la reciente formación del nuevo Gobierno de España, éste había anunciado que las pensiones se revalorizarán un </w:t>
      </w:r>
      <w:r w:rsidRPr="00CC09B7">
        <w:rPr>
          <w:rFonts w:ascii="Arial" w:eastAsia="Times New Roman" w:hAnsi="Arial" w:cs="Arial"/>
          <w:b/>
          <w:bCs/>
          <w:color w:val="000000"/>
          <w:sz w:val="28"/>
          <w:szCs w:val="28"/>
          <w:lang w:eastAsia="es-ES"/>
        </w:rPr>
        <w:t>0,9%</w:t>
      </w:r>
      <w:r w:rsidRPr="00CC09B7">
        <w:rPr>
          <w:rFonts w:ascii="Arial" w:eastAsia="Times New Roman" w:hAnsi="Arial" w:cs="Arial"/>
          <w:color w:val="000000"/>
          <w:sz w:val="28"/>
          <w:szCs w:val="28"/>
          <w:lang w:eastAsia="es-ES"/>
        </w:rPr>
        <w:t xml:space="preserve"> con efectos retroactivos a 1-1-2020 en las próximas semanas. </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Efectivamente, dicha previsión se ha cumplido en el </w:t>
      </w:r>
      <w:hyperlink r:id="rId4" w:history="1">
        <w:r w:rsidRPr="00CC09B7">
          <w:rPr>
            <w:rFonts w:ascii="Arial" w:eastAsia="Times New Roman" w:hAnsi="Arial" w:cs="Arial"/>
            <w:b/>
            <w:bCs/>
            <w:color w:val="0000FF"/>
            <w:sz w:val="28"/>
            <w:szCs w:val="28"/>
            <w:u w:val="single"/>
            <w:lang w:eastAsia="es-ES"/>
          </w:rPr>
          <w:t>Real Decreto-ley 1/2020, de 14-1</w:t>
        </w:r>
      </w:hyperlink>
      <w:r w:rsidRPr="00CC09B7">
        <w:rPr>
          <w:rFonts w:ascii="Arial" w:eastAsia="Times New Roman" w:hAnsi="Arial" w:cs="Arial"/>
          <w:color w:val="000000"/>
          <w:sz w:val="28"/>
          <w:szCs w:val="28"/>
          <w:lang w:eastAsia="es-ES"/>
        </w:rPr>
        <w:t xml:space="preserve">, por el que se establece la revalorización y mantenimiento de las pensiones y prestaciones públicas del sistema de Seguridad Social. Así, con efectos de 1-1-2020, este real decreto-ley establece una revalorización de las pensiones y otras prestaciones abonadas por el sistema de la Seguridad Social, en su modalidad contributiva y no contributiva, así como de Clases Pasivas del Estado, del </w:t>
      </w:r>
      <w:r w:rsidRPr="00CC09B7">
        <w:rPr>
          <w:rFonts w:ascii="Arial" w:eastAsia="Times New Roman" w:hAnsi="Arial" w:cs="Arial"/>
          <w:b/>
          <w:bCs/>
          <w:color w:val="000000"/>
          <w:sz w:val="28"/>
          <w:szCs w:val="28"/>
          <w:lang w:eastAsia="es-ES"/>
        </w:rPr>
        <w:t>0,9%</w:t>
      </w:r>
      <w:r w:rsidRPr="00CC09B7">
        <w:rPr>
          <w:rFonts w:ascii="Arial" w:eastAsia="Times New Roman" w:hAnsi="Arial" w:cs="Arial"/>
          <w:color w:val="000000"/>
          <w:sz w:val="28"/>
          <w:szCs w:val="28"/>
          <w:lang w:eastAsia="es-ES"/>
        </w:rPr>
        <w:t>.</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 Como complemento a esta previsión, el real decreto-ley incorpora un anexo en el que se recogen las </w:t>
      </w:r>
      <w:r w:rsidRPr="00CC09B7">
        <w:rPr>
          <w:rFonts w:ascii="Arial" w:eastAsia="Times New Roman" w:hAnsi="Arial" w:cs="Arial"/>
          <w:color w:val="000000"/>
          <w:sz w:val="28"/>
          <w:szCs w:val="28"/>
          <w:u w:val="single"/>
          <w:lang w:eastAsia="es-ES"/>
        </w:rPr>
        <w:t>cuantías de las pensiones mínimas</w:t>
      </w:r>
      <w:r w:rsidRPr="00CC09B7">
        <w:rPr>
          <w:rFonts w:ascii="Arial" w:eastAsia="Times New Roman" w:hAnsi="Arial" w:cs="Arial"/>
          <w:color w:val="000000"/>
          <w:sz w:val="28"/>
          <w:szCs w:val="28"/>
          <w:lang w:eastAsia="es-ES"/>
        </w:rPr>
        <w:t>, de otras pensiones y prestaciones públicas, así como los haberes reguladores de las pensiones de Clases Pasivas y las cuantías aplicables a las pensiones especiales de guerra para el año 2020.</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 Se contempla igualmente la garantía de </w:t>
      </w:r>
      <w:r w:rsidRPr="00CC09B7">
        <w:rPr>
          <w:rFonts w:ascii="Arial" w:eastAsia="Times New Roman" w:hAnsi="Arial" w:cs="Arial"/>
          <w:color w:val="000000"/>
          <w:sz w:val="28"/>
          <w:szCs w:val="28"/>
          <w:u w:val="single"/>
          <w:lang w:eastAsia="es-ES"/>
        </w:rPr>
        <w:t>mantenimiento del poder adquisitivo</w:t>
      </w:r>
      <w:r w:rsidRPr="00CC09B7">
        <w:rPr>
          <w:rFonts w:ascii="Arial" w:eastAsia="Times New Roman" w:hAnsi="Arial" w:cs="Arial"/>
          <w:color w:val="000000"/>
          <w:sz w:val="28"/>
          <w:szCs w:val="28"/>
          <w:lang w:eastAsia="es-ES"/>
        </w:rPr>
        <w:t xml:space="preserve"> de las pensiones en caso de que la inflación en 2020 sea superior al incremento previsto del 0,9%. Concretamente, se establece que los pensionistas recibirán, antes de 1-4-2021 y en un único pago, una cantidad equivalente a la diferencia entre la pensión percibida en 2020 y la que hubiere correspondido de haber aplicado a las cuantías de 2019 un incremento porcentual igual al valor medio de los incrementos porcentuales interanuales del IPC de los meses de diciembre de 2019 a noviembre de 2020, siempre que el valor medio resultante sea superior al </w:t>
      </w:r>
      <w:r w:rsidRPr="00CC09B7">
        <w:rPr>
          <w:rFonts w:ascii="Arial" w:eastAsia="Times New Roman" w:hAnsi="Arial" w:cs="Arial"/>
          <w:b/>
          <w:bCs/>
          <w:color w:val="000000"/>
          <w:sz w:val="28"/>
          <w:szCs w:val="28"/>
          <w:lang w:eastAsia="es-ES"/>
        </w:rPr>
        <w:t>0,9%</w:t>
      </w:r>
      <w:r w:rsidRPr="00CC09B7">
        <w:rPr>
          <w:rFonts w:ascii="Arial" w:eastAsia="Times New Roman" w:hAnsi="Arial" w:cs="Arial"/>
          <w:color w:val="000000"/>
          <w:sz w:val="28"/>
          <w:szCs w:val="28"/>
          <w:lang w:eastAsia="es-ES"/>
        </w:rPr>
        <w:t xml:space="preserve"> ya aplicado.</w:t>
      </w:r>
    </w:p>
    <w:p w:rsidR="002C3F59" w:rsidRPr="00CC09B7" w:rsidRDefault="002C3F59" w:rsidP="002C3F59">
      <w:pPr>
        <w:spacing w:after="100" w:line="240" w:lineRule="auto"/>
        <w:jc w:val="both"/>
        <w:rPr>
          <w:rFonts w:ascii="Arial" w:eastAsia="Times New Roman" w:hAnsi="Arial" w:cs="Arial"/>
          <w:color w:val="000000"/>
          <w:sz w:val="28"/>
          <w:szCs w:val="28"/>
          <w:lang w:eastAsia="es-ES"/>
        </w:rPr>
      </w:pPr>
      <w:r w:rsidRPr="00CC09B7">
        <w:rPr>
          <w:rFonts w:ascii="Arial" w:eastAsia="Times New Roman" w:hAnsi="Arial" w:cs="Arial"/>
          <w:color w:val="000000"/>
          <w:sz w:val="28"/>
          <w:szCs w:val="28"/>
          <w:lang w:eastAsia="es-ES"/>
        </w:rPr>
        <w:t xml:space="preserve">- </w:t>
      </w:r>
      <w:r w:rsidRPr="00CC09B7">
        <w:rPr>
          <w:rFonts w:ascii="Arial" w:eastAsia="Times New Roman" w:hAnsi="Arial" w:cs="Arial"/>
          <w:color w:val="000000"/>
          <w:sz w:val="28"/>
          <w:szCs w:val="28"/>
          <w:u w:val="single"/>
          <w:lang w:eastAsia="es-ES"/>
        </w:rPr>
        <w:t>Actualización de bases mínimas y máximas de cotización</w:t>
      </w:r>
      <w:r w:rsidRPr="00CC09B7">
        <w:rPr>
          <w:rFonts w:ascii="Arial" w:eastAsia="Times New Roman" w:hAnsi="Arial" w:cs="Arial"/>
          <w:color w:val="000000"/>
          <w:sz w:val="28"/>
          <w:szCs w:val="28"/>
          <w:lang w:eastAsia="es-ES"/>
        </w:rPr>
        <w:t xml:space="preserve">. También está entre </w:t>
      </w:r>
      <w:r w:rsidR="00CC09B7" w:rsidRPr="00CC09B7">
        <w:rPr>
          <w:rFonts w:ascii="Arial" w:eastAsia="Times New Roman" w:hAnsi="Arial" w:cs="Arial"/>
          <w:color w:val="000000"/>
          <w:sz w:val="28"/>
          <w:szCs w:val="28"/>
          <w:lang w:eastAsia="es-ES"/>
        </w:rPr>
        <w:t>las prioridades</w:t>
      </w:r>
      <w:r w:rsidRPr="00CC09B7">
        <w:rPr>
          <w:rFonts w:ascii="Arial" w:eastAsia="Times New Roman" w:hAnsi="Arial" w:cs="Arial"/>
          <w:color w:val="000000"/>
          <w:sz w:val="28"/>
          <w:szCs w:val="28"/>
          <w:lang w:eastAsia="es-ES"/>
        </w:rPr>
        <w:t xml:space="preserve"> del Ministerio actualizar las bases de cotización a la Seguridad Social, tanto la máxima como la mínima, aunque ésta última crecerá al mismo ritmo que lo haga el SMI, una decisión que en principio será competencia del Ministerio de Trabajo</w:t>
      </w:r>
    </w:p>
    <w:sectPr w:rsidR="002C3F59" w:rsidRPr="00CC09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59"/>
    <w:rsid w:val="002C3F59"/>
    <w:rsid w:val="00CC09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CE847-D39B-4DD9-8F58-44497BF1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pirenaicadigital.es/SITIO/REALDECRETOLEY1_202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927</Words>
  <Characters>5101</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2020-01-23T09:30:00Z</dcterms:created>
  <dcterms:modified xsi:type="dcterms:W3CDTF">2020-02-06T12:24:00Z</dcterms:modified>
</cp:coreProperties>
</file>