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F2" w:rsidRPr="00DE32F2" w:rsidRDefault="00DE32F2" w:rsidP="00DE32F2">
      <w:pPr>
        <w:shd w:val="clear" w:color="auto" w:fill="FDF4EB"/>
        <w:spacing w:before="100" w:beforeAutospacing="1" w:after="100" w:afterAutospacing="1" w:line="240" w:lineRule="auto"/>
        <w:jc w:val="both"/>
        <w:textAlignment w:val="bottom"/>
        <w:outlineLvl w:val="1"/>
        <w:rPr>
          <w:rFonts w:ascii="BebasNeue" w:eastAsia="Times New Roman" w:hAnsi="BebasNeue" w:cs="Arial"/>
          <w:color w:val="423222"/>
          <w:kern w:val="36"/>
          <w:sz w:val="48"/>
          <w:szCs w:val="48"/>
          <w:lang w:eastAsia="es-ES"/>
        </w:rPr>
      </w:pPr>
      <w:bookmarkStart w:id="0" w:name="_GoBack"/>
      <w:bookmarkEnd w:id="0"/>
      <w:r w:rsidRPr="00DE32F2">
        <w:rPr>
          <w:rFonts w:ascii="BebasNeue" w:eastAsia="Times New Roman" w:hAnsi="BebasNeue" w:cs="Arial"/>
          <w:color w:val="423222"/>
          <w:kern w:val="36"/>
          <w:sz w:val="48"/>
          <w:szCs w:val="48"/>
          <w:lang w:eastAsia="es-ES"/>
        </w:rPr>
        <w:t>CONSULTAS TRIBUTARIAS</w:t>
      </w:r>
    </w:p>
    <w:p w:rsidR="00DE32F2" w:rsidRPr="00DE32F2" w:rsidRDefault="00DE32F2" w:rsidP="009F4459">
      <w:pPr>
        <w:spacing w:before="100" w:beforeAutospacing="1" w:after="100" w:afterAutospacing="1" w:line="240" w:lineRule="auto"/>
        <w:jc w:val="center"/>
        <w:outlineLvl w:val="1"/>
        <w:rPr>
          <w:rFonts w:ascii="Roboto Slab" w:eastAsia="Times New Roman" w:hAnsi="Roboto Slab" w:cs="Arial"/>
          <w:color w:val="F97300"/>
          <w:kern w:val="36"/>
          <w:sz w:val="48"/>
          <w:szCs w:val="48"/>
          <w:lang w:eastAsia="es-ES"/>
        </w:rPr>
      </w:pPr>
      <w:r w:rsidRPr="00DE32F2">
        <w:rPr>
          <w:rFonts w:ascii="Roboto Slab" w:eastAsia="Times New Roman" w:hAnsi="Roboto Slab" w:cs="Arial"/>
          <w:color w:val="F97300"/>
          <w:kern w:val="36"/>
          <w:sz w:val="48"/>
          <w:szCs w:val="48"/>
          <w:lang w:eastAsia="es-ES"/>
        </w:rPr>
        <w:t>Posibilidad de embargar la nómina recibida por importe de 1.050,00 € mensuales brutos.</w:t>
      </w:r>
    </w:p>
    <w:p w:rsidR="00DE32F2" w:rsidRPr="009F4459" w:rsidRDefault="00DE32F2" w:rsidP="009F4459">
      <w:pPr>
        <w:pBdr>
          <w:bottom w:val="single" w:sz="6" w:space="0" w:color="EDEDED"/>
        </w:pBdr>
        <w:spacing w:before="100" w:beforeAutospacing="1" w:after="100" w:afterAutospacing="1" w:line="240" w:lineRule="auto"/>
        <w:jc w:val="both"/>
        <w:rPr>
          <w:rFonts w:ascii="Comic Sans MS" w:eastAsia="Times New Roman" w:hAnsi="Comic Sans MS" w:cs="Arial"/>
          <w:i/>
          <w:iCs/>
          <w:color w:val="6C6C6C"/>
          <w:sz w:val="24"/>
          <w:szCs w:val="24"/>
          <w:lang w:eastAsia="es-ES"/>
        </w:rPr>
      </w:pPr>
      <w:r w:rsidRPr="009F4459">
        <w:rPr>
          <w:rFonts w:ascii="Comic Sans MS" w:eastAsia="Times New Roman" w:hAnsi="Comic Sans MS" w:cs="Arial"/>
          <w:b/>
          <w:bCs/>
          <w:i/>
          <w:iCs/>
          <w:color w:val="6C6C6C"/>
          <w:sz w:val="24"/>
          <w:szCs w:val="24"/>
          <w:lang w:eastAsia="es-ES"/>
        </w:rPr>
        <w:t>Dirección General de Tributos</w:t>
      </w:r>
      <w:r w:rsidRPr="009F4459">
        <w:rPr>
          <w:rFonts w:ascii="Comic Sans MS" w:eastAsia="Times New Roman" w:hAnsi="Comic Sans MS" w:cs="Arial"/>
          <w:i/>
          <w:iCs/>
          <w:color w:val="6C6C6C"/>
          <w:sz w:val="24"/>
          <w:szCs w:val="24"/>
          <w:lang w:eastAsia="es-ES"/>
        </w:rPr>
        <w:t xml:space="preserve">, Consulta Vinculante nº V3068-19. Fecha de Salida: - 31/10/2019 </w:t>
      </w:r>
    </w:p>
    <w:p w:rsidR="00DE32F2" w:rsidRPr="009F4459" w:rsidRDefault="00DE32F2" w:rsidP="009F4459">
      <w:pPr>
        <w:spacing w:before="100" w:beforeAutospacing="1" w:after="100" w:afterAutospacing="1" w:line="240" w:lineRule="auto"/>
        <w:jc w:val="both"/>
        <w:outlineLvl w:val="4"/>
        <w:rPr>
          <w:rFonts w:ascii="Comic Sans MS" w:eastAsia="Times New Roman" w:hAnsi="Comic Sans MS" w:cs="Arial"/>
          <w:color w:val="F97300"/>
          <w:sz w:val="24"/>
          <w:szCs w:val="24"/>
          <w:lang w:eastAsia="es-ES"/>
        </w:rPr>
      </w:pPr>
      <w:r w:rsidRPr="009F4459">
        <w:rPr>
          <w:rFonts w:ascii="Comic Sans MS" w:eastAsia="Times New Roman" w:hAnsi="Comic Sans MS" w:cs="Arial"/>
          <w:color w:val="F97300"/>
          <w:sz w:val="24"/>
          <w:szCs w:val="24"/>
          <w:lang w:eastAsia="es-ES"/>
        </w:rPr>
        <w:t>DESCRIPCIÓN DE LOS HECHOS</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La interesada recibe rentas de trabajo por importe de 1.050,00 € mensuales brutos.</w:t>
      </w:r>
    </w:p>
    <w:p w:rsidR="00DE32F2" w:rsidRPr="009F4459" w:rsidRDefault="00DE32F2" w:rsidP="009F4459">
      <w:pPr>
        <w:spacing w:before="100" w:beforeAutospacing="1" w:after="100" w:afterAutospacing="1" w:line="240" w:lineRule="auto"/>
        <w:jc w:val="both"/>
        <w:outlineLvl w:val="4"/>
        <w:rPr>
          <w:rFonts w:ascii="Comic Sans MS" w:eastAsia="Times New Roman" w:hAnsi="Comic Sans MS" w:cs="Arial"/>
          <w:color w:val="F97300"/>
          <w:sz w:val="24"/>
          <w:szCs w:val="24"/>
          <w:lang w:eastAsia="es-ES"/>
        </w:rPr>
      </w:pPr>
      <w:r w:rsidRPr="009F4459">
        <w:rPr>
          <w:rFonts w:ascii="Comic Sans MS" w:eastAsia="Times New Roman" w:hAnsi="Comic Sans MS" w:cs="Arial"/>
          <w:color w:val="F97300"/>
          <w:sz w:val="24"/>
          <w:szCs w:val="24"/>
          <w:lang w:eastAsia="es-ES"/>
        </w:rPr>
        <w:t>CUESTIÓN PLANTEADA: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Posibilidad de embargar la nómina percibida.</w:t>
      </w:r>
    </w:p>
    <w:p w:rsidR="00DE32F2" w:rsidRPr="009F4459" w:rsidRDefault="009F4459" w:rsidP="009F4459">
      <w:pPr>
        <w:spacing w:before="100" w:beforeAutospacing="1" w:after="100" w:afterAutospacing="1" w:line="240" w:lineRule="auto"/>
        <w:jc w:val="both"/>
        <w:outlineLvl w:val="4"/>
        <w:rPr>
          <w:rFonts w:ascii="Comic Sans MS" w:eastAsia="Times New Roman" w:hAnsi="Comic Sans MS" w:cs="Arial"/>
          <w:color w:val="F97300"/>
          <w:sz w:val="24"/>
          <w:szCs w:val="24"/>
          <w:lang w:eastAsia="es-ES"/>
        </w:rPr>
      </w:pPr>
      <w:r w:rsidRPr="009F4459">
        <w:rPr>
          <w:rFonts w:ascii="Comic Sans MS" w:eastAsia="Times New Roman" w:hAnsi="Comic Sans MS" w:cs="Arial"/>
          <w:color w:val="F97300"/>
          <w:sz w:val="24"/>
          <w:szCs w:val="24"/>
          <w:lang w:eastAsia="es-ES"/>
        </w:rPr>
        <w:t>CONTESTACIÓN</w:t>
      </w:r>
      <w:r w:rsidR="00DE32F2" w:rsidRPr="009F4459">
        <w:rPr>
          <w:rFonts w:ascii="Comic Sans MS" w:eastAsia="Times New Roman" w:hAnsi="Comic Sans MS" w:cs="Arial"/>
          <w:color w:val="F97300"/>
          <w:sz w:val="24"/>
          <w:szCs w:val="24"/>
          <w:lang w:eastAsia="es-ES"/>
        </w:rPr>
        <w:t>-COMPLETA:</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El artículo 169.2.c) de la Ley 58/2003, de 17 de diciembre, General Tributaria, (BOE de 18 de diciembre), en adelante LGT, enumera como bienes embargables los sueldos, salarios y pensiones.</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Por otro lado, el artículo 82.1 del Reglamento General de Recaudación aprobado por Real Decreto 939/2005, de 29 de julio, (BOE de 2 de septiembre), en adelante RGR, determina que:</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“1. El embargo de sueldos, salarios y pensiones se efectuará teniendo en cuenta lo establecido en la Ley 1/2000, de 7 de enero, de Enjuiciamiento Civil.</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La diligencia de embargo se presentará al pagador. Este quedará obligado a retener las cantidades procedentes en cada caso sobre las sucesivas cuantías satisfechas como sueldo, salario o pensión y a ingresar en el Tesoro el importe detraído hasta el límite de la cantidad adeudada.”.</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Así, los apartados 1, 2 y 3 del artículo 607 de la Ley 1/2000, de 7 de enero, de Enjuiciamiento Civil, (BOE de 8 de enero), en adelante LEC, señalan, respectivamente, que:</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“1. Es inembargable el salario, sueldo, pensión, retribución o su equivalente, que no exceda de la cuantía señalada para el salario mínimo interprofesional.</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2. Los salarios, sueldos, jornales, retribuciones o pensiones que sean superiores al salario mínimo interprofesional se embargarán conforme a esta escala:</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Para la primera cuantía adicional hasta la que suponga el importe del doble del salario mínimo interprofesional, el 30 %.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Para la cuantía adicional hasta el importe equivalente a un tercer salario mínimo interprofesional, el 50 %.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Para la cuantía adicional hasta el importe equivalente a un cuarto salario mínimo interprofesional, el 60 %.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Para la cuantía adicional hasta el importe equivalente a un quinto salario mínimo interprofesional, el 75 %.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Para cualquier cantidad que exceda de la anterior cuantía, el 90 %.</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 xml:space="preserve">3. Si el ejecutado es beneficiario de más de una percepción, se acumularán todas ellas para deducir una sola vez la parte inembargable. Igualmente serán acumulables los salarios, sueldos y pensiones, retribuciones o equivalentes de los cónyuges cuando el régimen económico que les rija no sea el de separación de bienes y rentas de toda clase, circunstancia que habrán de acreditar al </w:t>
      </w:r>
      <w:r w:rsidR="009F4459" w:rsidRPr="009F4459">
        <w:rPr>
          <w:rFonts w:ascii="Comic Sans MS" w:eastAsia="Times New Roman" w:hAnsi="Comic Sans MS" w:cs="Arial"/>
          <w:color w:val="6C6C6C"/>
          <w:sz w:val="24"/>
          <w:szCs w:val="24"/>
          <w:lang w:eastAsia="es-ES"/>
        </w:rPr>
        <w:t>secretario</w:t>
      </w:r>
      <w:r w:rsidRPr="009F4459">
        <w:rPr>
          <w:rFonts w:ascii="Comic Sans MS" w:eastAsia="Times New Roman" w:hAnsi="Comic Sans MS" w:cs="Arial"/>
          <w:color w:val="6C6C6C"/>
          <w:sz w:val="24"/>
          <w:szCs w:val="24"/>
          <w:lang w:eastAsia="es-ES"/>
        </w:rPr>
        <w:t xml:space="preserve"> judicial.”.</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 xml:space="preserve">En el supuesto de que </w:t>
      </w:r>
      <w:r w:rsidRPr="009F4459">
        <w:rPr>
          <w:rFonts w:ascii="Comic Sans MS" w:eastAsia="Times New Roman" w:hAnsi="Comic Sans MS" w:cs="Arial"/>
          <w:b/>
          <w:bCs/>
          <w:color w:val="6C6C6C"/>
          <w:sz w:val="24"/>
          <w:szCs w:val="24"/>
          <w:lang w:eastAsia="es-ES"/>
        </w:rPr>
        <w:t>las pagas extraordinarias se encuentren prorrateadas entre las 12 mensualidades del año</w:t>
      </w:r>
      <w:r w:rsidRPr="009F4459">
        <w:rPr>
          <w:rFonts w:ascii="Comic Sans MS" w:eastAsia="Times New Roman" w:hAnsi="Comic Sans MS" w:cs="Arial"/>
          <w:color w:val="6C6C6C"/>
          <w:sz w:val="24"/>
          <w:szCs w:val="24"/>
          <w:lang w:eastAsia="es-ES"/>
        </w:rPr>
        <w:t xml:space="preserve">, en este caso, </w:t>
      </w:r>
      <w:r w:rsidRPr="009F4459">
        <w:rPr>
          <w:rFonts w:ascii="Comic Sans MS" w:eastAsia="Times New Roman" w:hAnsi="Comic Sans MS" w:cs="Arial"/>
          <w:b/>
          <w:bCs/>
          <w:color w:val="6C6C6C"/>
          <w:sz w:val="24"/>
          <w:szCs w:val="24"/>
          <w:lang w:eastAsia="es-ES"/>
        </w:rPr>
        <w:t>los límites de embargabilidad</w:t>
      </w:r>
      <w:r w:rsidRPr="009F4459">
        <w:rPr>
          <w:rFonts w:ascii="Comic Sans MS" w:eastAsia="Times New Roman" w:hAnsi="Comic Sans MS" w:cs="Arial"/>
          <w:color w:val="6C6C6C"/>
          <w:sz w:val="24"/>
          <w:szCs w:val="24"/>
          <w:lang w:eastAsia="es-ES"/>
        </w:rPr>
        <w:t xml:space="preserve"> del artículo 607 de la LEC </w:t>
      </w:r>
      <w:r w:rsidRPr="009F4459">
        <w:rPr>
          <w:rFonts w:ascii="Comic Sans MS" w:eastAsia="Times New Roman" w:hAnsi="Comic Sans MS" w:cs="Arial"/>
          <w:b/>
          <w:bCs/>
          <w:color w:val="6C6C6C"/>
          <w:sz w:val="24"/>
          <w:szCs w:val="24"/>
          <w:lang w:eastAsia="es-ES"/>
        </w:rPr>
        <w:t>se aplicarán sobre el salario mensual ordinario y la parte prorrateada correspondiente a la paga extraordinaria</w:t>
      </w:r>
      <w:r w:rsidRPr="009F4459">
        <w:rPr>
          <w:rFonts w:ascii="Comic Sans MS" w:eastAsia="Times New Roman" w:hAnsi="Comic Sans MS" w:cs="Arial"/>
          <w:color w:val="6C6C6C"/>
          <w:sz w:val="24"/>
          <w:szCs w:val="24"/>
          <w:lang w:eastAsia="es-ES"/>
        </w:rPr>
        <w:t>, dada la redacción del apartado 3 de dicho precepto.</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Conforme con lo anterior, los límites de embargabilidad del artículo 607 de la LEC son aplicables por referencia al salario mínimo interprofesional (SMI). Si bien dicho concepto, SMI, no es determinado por la normativa tributaria. De tal suerte que, para su determinación, en virtud del sistema de fuentes del artículo 7.2 de la LGT, hay que remitirse a la normativa laboral.</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En este sentido, el SMI está regulado para el año 2019 por el Real Decreto 1462/2018, de 21 de diciembre, por el que se fija el salario mínimo interprofesional para 2019 (BOE de 28 de diciembre), cuyo artículo 1 establece que:</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“El salario mínimo para cualesquiera actividades en la agricultura, en la industria y en los servicios, sin distinción de sexo ni edad de los trabajadores, queda fijado en 30 euros/día o 900 euros/mes, según que el salario esté fijado por días o por meses.</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En consecuencia, si la cantidad percibida por la obligada tributaria excede de 900 euros mensuales (que es el salario mínimo interprofesional para 2019), pero el importe adicional no supera el doble del salario mínimo interprofesional, podrá embargarse el porcentaje del 30 % sobre el importe adicional al salario mínimo interprofesional.</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Esta interpretación es conforme con la doctrina de este Centro Directivo manifestada en las consultas vinculantes con números de referencia: V2034-16, de 11 de mayo, V5001-16 de 17 de noviembre y V2435-18 de 11 de septiembre.</w:t>
      </w:r>
    </w:p>
    <w:p w:rsidR="00DE32F2" w:rsidRPr="009F4459" w:rsidRDefault="00DE32F2" w:rsidP="009F4459">
      <w:pPr>
        <w:spacing w:before="100" w:beforeAutospacing="1" w:after="100" w:afterAutospacing="1" w:line="240" w:lineRule="auto"/>
        <w:jc w:val="both"/>
        <w:rPr>
          <w:rFonts w:ascii="Comic Sans MS" w:eastAsia="Times New Roman" w:hAnsi="Comic Sans MS" w:cs="Arial"/>
          <w:color w:val="6C6C6C"/>
          <w:sz w:val="24"/>
          <w:szCs w:val="24"/>
          <w:lang w:eastAsia="es-ES"/>
        </w:rPr>
      </w:pPr>
      <w:r w:rsidRPr="009F4459">
        <w:rPr>
          <w:rFonts w:ascii="Comic Sans MS" w:eastAsia="Times New Roman" w:hAnsi="Comic Sans MS" w:cs="Arial"/>
          <w:color w:val="6C6C6C"/>
          <w:sz w:val="24"/>
          <w:szCs w:val="24"/>
          <w:lang w:eastAsia="es-ES"/>
        </w:rPr>
        <w:t>Lo que comunico a Vd. con efectos vinculantes, conforme a lo dispuesto en el apartado 1 del artículo 89 de la Ley 58/2003, de 17 de diciembre, General Tributaria.</w:t>
      </w:r>
    </w:p>
    <w:p w:rsidR="00DE32F2" w:rsidRPr="009F4459" w:rsidRDefault="00DE32F2" w:rsidP="009F4459">
      <w:pPr>
        <w:jc w:val="both"/>
        <w:rPr>
          <w:rFonts w:ascii="Comic Sans MS" w:hAnsi="Comic Sans MS"/>
          <w:sz w:val="24"/>
          <w:szCs w:val="24"/>
        </w:rPr>
      </w:pPr>
    </w:p>
    <w:sectPr w:rsidR="00DE32F2" w:rsidRPr="009F4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F2"/>
    <w:rsid w:val="009F4459"/>
    <w:rsid w:val="00DE3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F300"/>
  <w15:chartTrackingRefBased/>
  <w15:docId w15:val="{90C12E22-55F0-43D9-A9B0-51966C5D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2078">
      <w:bodyDiv w:val="1"/>
      <w:marLeft w:val="0"/>
      <w:marRight w:val="0"/>
      <w:marTop w:val="0"/>
      <w:marBottom w:val="0"/>
      <w:divBdr>
        <w:top w:val="none" w:sz="0" w:space="0" w:color="auto"/>
        <w:left w:val="none" w:sz="0" w:space="0" w:color="auto"/>
        <w:bottom w:val="none" w:sz="0" w:space="0" w:color="auto"/>
        <w:right w:val="none" w:sz="0" w:space="0" w:color="auto"/>
      </w:divBdr>
      <w:divsChild>
        <w:div w:id="36360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3860</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2019-12-13T18:20:00Z</dcterms:created>
  <dcterms:modified xsi:type="dcterms:W3CDTF">2019-12-14T10:24:00Z</dcterms:modified>
</cp:coreProperties>
</file>