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F0C" w:rsidRPr="00773F0C" w:rsidRDefault="00773F0C" w:rsidP="00773F0C">
      <w:pPr>
        <w:shd w:val="clear" w:color="auto" w:fill="FDF4EB"/>
        <w:spacing w:before="100" w:beforeAutospacing="1" w:after="100" w:afterAutospacing="1" w:line="240" w:lineRule="auto"/>
        <w:jc w:val="both"/>
        <w:textAlignment w:val="bottom"/>
        <w:outlineLvl w:val="1"/>
        <w:rPr>
          <w:rFonts w:ascii="BebasNeue" w:eastAsia="Times New Roman" w:hAnsi="BebasNeue" w:cs="Arial"/>
          <w:color w:val="423222"/>
          <w:kern w:val="36"/>
          <w:sz w:val="48"/>
          <w:szCs w:val="48"/>
          <w:lang w:eastAsia="es-ES"/>
        </w:rPr>
      </w:pPr>
      <w:r w:rsidRPr="00773F0C">
        <w:rPr>
          <w:rFonts w:ascii="BebasNeue" w:eastAsia="Times New Roman" w:hAnsi="BebasNeue" w:cs="Arial"/>
          <w:color w:val="423222"/>
          <w:kern w:val="36"/>
          <w:sz w:val="48"/>
          <w:szCs w:val="48"/>
          <w:lang w:eastAsia="es-ES"/>
        </w:rPr>
        <w:t>CONSULTAS TRIBUTARIAS</w:t>
      </w:r>
    </w:p>
    <w:p w:rsidR="00773F0C" w:rsidRPr="00773F0C" w:rsidRDefault="00773F0C" w:rsidP="00773F0C">
      <w:pPr>
        <w:spacing w:before="100" w:beforeAutospacing="1" w:after="100" w:afterAutospacing="1" w:line="240" w:lineRule="auto"/>
        <w:outlineLvl w:val="1"/>
        <w:rPr>
          <w:rFonts w:ascii="Roboto Slab" w:eastAsia="Times New Roman" w:hAnsi="Roboto Slab" w:cs="Arial"/>
          <w:color w:val="F97300"/>
          <w:kern w:val="36"/>
          <w:sz w:val="48"/>
          <w:szCs w:val="48"/>
          <w:lang w:eastAsia="es-ES"/>
        </w:rPr>
      </w:pPr>
      <w:r w:rsidRPr="00773F0C">
        <w:rPr>
          <w:rFonts w:ascii="Roboto Slab" w:eastAsia="Times New Roman" w:hAnsi="Roboto Slab" w:cs="Arial"/>
          <w:color w:val="F97300"/>
          <w:kern w:val="36"/>
          <w:sz w:val="48"/>
          <w:szCs w:val="48"/>
          <w:lang w:eastAsia="es-ES"/>
        </w:rPr>
        <w:t xml:space="preserve">Sociedad que paga cotizaciones al RETA de sus socios. Consideración como retribución en especie. </w:t>
      </w:r>
      <w:proofErr w:type="gramStart"/>
      <w:r w:rsidRPr="00773F0C">
        <w:rPr>
          <w:rFonts w:ascii="Roboto Slab" w:eastAsia="Times New Roman" w:hAnsi="Roboto Slab" w:cs="Arial"/>
          <w:color w:val="F97300"/>
          <w:kern w:val="36"/>
          <w:sz w:val="48"/>
          <w:szCs w:val="48"/>
          <w:lang w:eastAsia="es-ES"/>
        </w:rPr>
        <w:t>Gastos deducible</w:t>
      </w:r>
      <w:proofErr w:type="gramEnd"/>
      <w:r w:rsidRPr="00773F0C">
        <w:rPr>
          <w:rFonts w:ascii="Roboto Slab" w:eastAsia="Times New Roman" w:hAnsi="Roboto Slab" w:cs="Arial"/>
          <w:color w:val="F97300"/>
          <w:kern w:val="36"/>
          <w:sz w:val="48"/>
          <w:szCs w:val="48"/>
          <w:lang w:eastAsia="es-ES"/>
        </w:rPr>
        <w:t xml:space="preserve">. </w:t>
      </w:r>
    </w:p>
    <w:p w:rsidR="00773F0C" w:rsidRPr="00773F0C" w:rsidRDefault="00773F0C" w:rsidP="00773F0C">
      <w:pPr>
        <w:pBdr>
          <w:bottom w:val="single" w:sz="6" w:space="0" w:color="EDEDED"/>
        </w:pBdr>
        <w:spacing w:before="100" w:beforeAutospacing="1" w:after="100" w:afterAutospacing="1" w:line="240" w:lineRule="auto"/>
        <w:jc w:val="both"/>
        <w:rPr>
          <w:rFonts w:ascii="Arial" w:eastAsia="Times New Roman" w:hAnsi="Arial" w:cs="Arial"/>
          <w:i/>
          <w:iCs/>
          <w:color w:val="6C6C6C"/>
          <w:sz w:val="18"/>
          <w:szCs w:val="18"/>
          <w:lang w:eastAsia="es-ES"/>
        </w:rPr>
      </w:pPr>
      <w:r w:rsidRPr="00773F0C">
        <w:rPr>
          <w:rFonts w:ascii="Arial" w:eastAsia="Times New Roman" w:hAnsi="Arial" w:cs="Arial"/>
          <w:b/>
          <w:bCs/>
          <w:i/>
          <w:iCs/>
          <w:color w:val="6C6C6C"/>
          <w:sz w:val="18"/>
          <w:szCs w:val="18"/>
          <w:lang w:eastAsia="es-ES"/>
        </w:rPr>
        <w:t>Dirección General de Tributos</w:t>
      </w:r>
      <w:r w:rsidRPr="00773F0C">
        <w:rPr>
          <w:rFonts w:ascii="Arial" w:eastAsia="Times New Roman" w:hAnsi="Arial" w:cs="Arial"/>
          <w:i/>
          <w:iCs/>
          <w:color w:val="6C6C6C"/>
          <w:sz w:val="18"/>
          <w:szCs w:val="18"/>
          <w:lang w:eastAsia="es-ES"/>
        </w:rPr>
        <w:t xml:space="preserve">, Consulta Vinculante </w:t>
      </w:r>
      <w:proofErr w:type="spellStart"/>
      <w:r w:rsidRPr="00773F0C">
        <w:rPr>
          <w:rFonts w:ascii="Arial" w:eastAsia="Times New Roman" w:hAnsi="Arial" w:cs="Arial"/>
          <w:i/>
          <w:iCs/>
          <w:color w:val="6C6C6C"/>
          <w:sz w:val="18"/>
          <w:szCs w:val="18"/>
          <w:lang w:eastAsia="es-ES"/>
        </w:rPr>
        <w:t>nº</w:t>
      </w:r>
      <w:proofErr w:type="spellEnd"/>
      <w:r w:rsidRPr="00773F0C">
        <w:rPr>
          <w:rFonts w:ascii="Arial" w:eastAsia="Times New Roman" w:hAnsi="Arial" w:cs="Arial"/>
          <w:i/>
          <w:iCs/>
          <w:color w:val="6C6C6C"/>
          <w:sz w:val="18"/>
          <w:szCs w:val="18"/>
          <w:lang w:eastAsia="es-ES"/>
        </w:rPr>
        <w:t xml:space="preserve"> </w:t>
      </w:r>
      <w:proofErr w:type="spellStart"/>
      <w:r w:rsidRPr="00773F0C">
        <w:rPr>
          <w:rFonts w:ascii="Arial" w:eastAsia="Times New Roman" w:hAnsi="Arial" w:cs="Arial"/>
          <w:i/>
          <w:iCs/>
          <w:color w:val="6C6C6C"/>
          <w:sz w:val="18"/>
          <w:szCs w:val="18"/>
          <w:lang w:eastAsia="es-ES"/>
        </w:rPr>
        <w:t>V0317</w:t>
      </w:r>
      <w:proofErr w:type="spellEnd"/>
      <w:r w:rsidRPr="00773F0C">
        <w:rPr>
          <w:rFonts w:ascii="Arial" w:eastAsia="Times New Roman" w:hAnsi="Arial" w:cs="Arial"/>
          <w:i/>
          <w:iCs/>
          <w:color w:val="6C6C6C"/>
          <w:sz w:val="18"/>
          <w:szCs w:val="18"/>
          <w:lang w:eastAsia="es-ES"/>
        </w:rPr>
        <w:t xml:space="preserve">-19. Fecha de Salida: - 15/02/2019 </w:t>
      </w:r>
    </w:p>
    <w:p w:rsidR="00773F0C" w:rsidRPr="00773F0C" w:rsidRDefault="00773F0C" w:rsidP="00773F0C">
      <w:pPr>
        <w:spacing w:after="0" w:line="240" w:lineRule="auto"/>
        <w:rPr>
          <w:rFonts w:ascii="Arial" w:eastAsia="Times New Roman" w:hAnsi="Arial" w:cs="Arial"/>
          <w:sz w:val="24"/>
          <w:szCs w:val="24"/>
          <w:lang w:eastAsia="es-ES"/>
        </w:rPr>
      </w:pPr>
      <w:r w:rsidRPr="00773F0C">
        <w:rPr>
          <w:rFonts w:ascii="Arial" w:eastAsia="Times New Roman" w:hAnsi="Arial" w:cs="Arial"/>
          <w:noProof/>
          <w:sz w:val="24"/>
          <w:szCs w:val="24"/>
          <w:lang w:eastAsia="es-ES"/>
        </w:rPr>
        <mc:AlternateContent>
          <mc:Choice Requires="wps">
            <w:drawing>
              <wp:inline distT="0" distB="0" distL="0" distR="0" wp14:anchorId="3253330D" wp14:editId="385005DC">
                <wp:extent cx="302895" cy="302895"/>
                <wp:effectExtent l="0" t="0" r="0" b="0"/>
                <wp:docPr id="1" name="AutoShape 1" descr="img_ct_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76756" id="AutoShape 1" o:spid="_x0000_s1026" alt="img_ct_01"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" filled="f" stroked="f">
                <o:lock v:ext="edit" aspectratio="t"/>
                <w10:anchorlock/>
              </v:rect>
            </w:pict>
          </mc:Fallback>
        </mc:AlternateContent>
      </w:r>
    </w:p>
    <w:p w:rsidR="00773F0C" w:rsidRPr="00773F0C" w:rsidRDefault="00773F0C" w:rsidP="00773F0C">
      <w:pPr>
        <w:spacing w:before="100" w:beforeAutospacing="1" w:after="100" w:afterAutospacing="1" w:line="240" w:lineRule="auto"/>
        <w:outlineLvl w:val="4"/>
        <w:rPr>
          <w:rFonts w:ascii="Roboto Slab" w:eastAsia="Times New Roman" w:hAnsi="Roboto Slab" w:cs="Arial"/>
          <w:color w:val="F97300"/>
          <w:sz w:val="24"/>
          <w:szCs w:val="24"/>
          <w:lang w:eastAsia="es-ES"/>
        </w:rPr>
      </w:pPr>
      <w:r w:rsidRPr="00773F0C">
        <w:rPr>
          <w:rFonts w:ascii="Roboto Slab" w:eastAsia="Times New Roman" w:hAnsi="Roboto Slab" w:cs="Arial"/>
          <w:color w:val="F97300"/>
          <w:sz w:val="24"/>
          <w:szCs w:val="24"/>
          <w:lang w:eastAsia="es-ES"/>
        </w:rPr>
        <w:t>DESCRIPCIÓN DE LOS HECHOS</w:t>
      </w:r>
    </w:p>
    <w:p w:rsidR="00773F0C" w:rsidRPr="00773F0C" w:rsidRDefault="00773F0C" w:rsidP="00773F0C">
      <w:pPr>
        <w:spacing w:before="100" w:beforeAutospacing="1" w:after="100" w:afterAutospacing="1" w:line="240" w:lineRule="auto"/>
        <w:jc w:val="both"/>
        <w:rPr>
          <w:rFonts w:ascii="Arial" w:eastAsia="Times New Roman" w:hAnsi="Arial" w:cs="Arial"/>
          <w:color w:val="6C6C6C"/>
          <w:sz w:val="24"/>
          <w:szCs w:val="24"/>
          <w:lang w:eastAsia="es-ES"/>
        </w:rPr>
      </w:pPr>
      <w:r w:rsidRPr="00773F0C">
        <w:rPr>
          <w:rFonts w:ascii="Arial" w:eastAsia="Times New Roman" w:hAnsi="Arial" w:cs="Arial"/>
          <w:color w:val="6C6C6C"/>
          <w:sz w:val="24"/>
          <w:szCs w:val="24"/>
          <w:lang w:eastAsia="es-ES"/>
        </w:rPr>
        <w:t>Sociedad que paga las cotizaciones al régimen especial de trabajadores autónomos de la Seguridad Social (RETA) de sus socios.</w:t>
      </w:r>
    </w:p>
    <w:p w:rsidR="00773F0C" w:rsidRPr="00773F0C" w:rsidRDefault="00773F0C" w:rsidP="00773F0C">
      <w:pPr>
        <w:spacing w:before="100" w:beforeAutospacing="1" w:after="100" w:afterAutospacing="1" w:line="240" w:lineRule="auto"/>
        <w:outlineLvl w:val="4"/>
        <w:rPr>
          <w:rFonts w:ascii="Roboto Slab" w:eastAsia="Times New Roman" w:hAnsi="Roboto Slab" w:cs="Arial"/>
          <w:color w:val="F97300"/>
          <w:sz w:val="24"/>
          <w:szCs w:val="24"/>
          <w:lang w:eastAsia="es-ES"/>
        </w:rPr>
      </w:pPr>
      <w:r w:rsidRPr="00773F0C">
        <w:rPr>
          <w:rFonts w:ascii="Roboto Slab" w:eastAsia="Times New Roman" w:hAnsi="Roboto Slab" w:cs="Arial"/>
          <w:color w:val="F97300"/>
          <w:sz w:val="24"/>
          <w:szCs w:val="24"/>
          <w:lang w:eastAsia="es-ES"/>
        </w:rPr>
        <w:t>CUESTIÓN PLANTEADA: </w:t>
      </w:r>
    </w:p>
    <w:p w:rsidR="00773F0C" w:rsidRPr="00773F0C" w:rsidRDefault="00773F0C" w:rsidP="00773F0C">
      <w:pPr>
        <w:spacing w:before="100" w:beforeAutospacing="1" w:after="100" w:afterAutospacing="1" w:line="240" w:lineRule="auto"/>
        <w:jc w:val="both"/>
        <w:rPr>
          <w:rFonts w:ascii="Arial" w:eastAsia="Times New Roman" w:hAnsi="Arial" w:cs="Arial"/>
          <w:color w:val="6C6C6C"/>
          <w:sz w:val="24"/>
          <w:szCs w:val="24"/>
          <w:lang w:eastAsia="es-ES"/>
        </w:rPr>
      </w:pPr>
      <w:r w:rsidRPr="00773F0C">
        <w:rPr>
          <w:rFonts w:ascii="Arial" w:eastAsia="Times New Roman" w:hAnsi="Arial" w:cs="Arial"/>
          <w:color w:val="6C6C6C"/>
          <w:sz w:val="24"/>
          <w:szCs w:val="24"/>
          <w:lang w:eastAsia="es-ES"/>
        </w:rPr>
        <w:t>Consideración del pago de las cuotas del RETA como retribución en especie.</w:t>
      </w:r>
    </w:p>
    <w:p w:rsidR="00773F0C" w:rsidRPr="00773F0C" w:rsidRDefault="00773F0C" w:rsidP="00773F0C">
      <w:pPr>
        <w:spacing w:before="100" w:beforeAutospacing="1" w:after="100" w:afterAutospacing="1" w:line="240" w:lineRule="auto"/>
        <w:outlineLvl w:val="4"/>
        <w:rPr>
          <w:rFonts w:ascii="Roboto Slab" w:eastAsia="Times New Roman" w:hAnsi="Roboto Slab" w:cs="Arial"/>
          <w:color w:val="F97300"/>
          <w:sz w:val="24"/>
          <w:szCs w:val="24"/>
          <w:lang w:eastAsia="es-ES"/>
        </w:rPr>
      </w:pPr>
      <w:proofErr w:type="spellStart"/>
      <w:r w:rsidRPr="00773F0C">
        <w:rPr>
          <w:rFonts w:ascii="Roboto Slab" w:eastAsia="Times New Roman" w:hAnsi="Roboto Slab" w:cs="Arial"/>
          <w:color w:val="F97300"/>
          <w:sz w:val="24"/>
          <w:szCs w:val="24"/>
          <w:lang w:eastAsia="es-ES"/>
        </w:rPr>
        <w:t>CONTESTACION</w:t>
      </w:r>
      <w:proofErr w:type="spellEnd"/>
      <w:r w:rsidRPr="00773F0C">
        <w:rPr>
          <w:rFonts w:ascii="Roboto Slab" w:eastAsia="Times New Roman" w:hAnsi="Roboto Slab" w:cs="Arial"/>
          <w:color w:val="F97300"/>
          <w:sz w:val="24"/>
          <w:szCs w:val="24"/>
          <w:lang w:eastAsia="es-ES"/>
        </w:rPr>
        <w:t>-COMPLETA:</w:t>
      </w:r>
    </w:p>
    <w:p w:rsidR="00773F0C" w:rsidRPr="00773F0C" w:rsidRDefault="00773F0C" w:rsidP="00773F0C">
      <w:pPr>
        <w:spacing w:before="100" w:beforeAutospacing="1" w:after="100" w:afterAutospacing="1" w:line="240" w:lineRule="auto"/>
        <w:jc w:val="both"/>
        <w:rPr>
          <w:rFonts w:ascii="Arial" w:eastAsia="Times New Roman" w:hAnsi="Arial" w:cs="Arial"/>
          <w:color w:val="6C6C6C"/>
          <w:sz w:val="24"/>
          <w:szCs w:val="24"/>
          <w:lang w:eastAsia="es-ES"/>
        </w:rPr>
      </w:pPr>
      <w:r w:rsidRPr="00773F0C">
        <w:rPr>
          <w:rFonts w:ascii="Arial" w:eastAsia="Times New Roman" w:hAnsi="Arial" w:cs="Arial"/>
          <w:color w:val="6C6C6C"/>
          <w:sz w:val="24"/>
          <w:szCs w:val="24"/>
          <w:lang w:eastAsia="es-ES"/>
        </w:rPr>
        <w:t>La presente contestación parte de la hipótesis de que procede calificar como rendimiento del trabajo a los rendimientos satisfechos por la sociedad consultante a sus socios-trabajadores.</w:t>
      </w:r>
    </w:p>
    <w:p w:rsidR="00773F0C" w:rsidRPr="00773F0C" w:rsidRDefault="00773F0C" w:rsidP="00773F0C">
      <w:pPr>
        <w:spacing w:before="100" w:beforeAutospacing="1" w:after="100" w:afterAutospacing="1" w:line="240" w:lineRule="auto"/>
        <w:jc w:val="both"/>
        <w:rPr>
          <w:rFonts w:ascii="Arial" w:eastAsia="Times New Roman" w:hAnsi="Arial" w:cs="Arial"/>
          <w:color w:val="6C6C6C"/>
          <w:sz w:val="24"/>
          <w:szCs w:val="24"/>
          <w:lang w:eastAsia="es-ES"/>
        </w:rPr>
      </w:pPr>
      <w:r w:rsidRPr="00773F0C">
        <w:rPr>
          <w:rFonts w:ascii="Arial" w:eastAsia="Times New Roman" w:hAnsi="Arial" w:cs="Arial"/>
          <w:color w:val="6C6C6C"/>
          <w:sz w:val="24"/>
          <w:szCs w:val="24"/>
          <w:lang w:eastAsia="es-ES"/>
        </w:rPr>
        <w:t>Partiendo de dicha hipótesis, en el régimen especial de la Seguridad Social de Trabajadores por Cuenta Propia o Autónomos (en adelante RETA), al corresponder la obligación de cotizar a los socios-trabajadores, el pago de las correspondientes cuotas por la sociedad a la que aquellos prestan sus servicios dará lugar a una mayor retribución del trabajo.</w:t>
      </w:r>
    </w:p>
    <w:p w:rsidR="00773F0C" w:rsidRPr="00773F0C" w:rsidRDefault="00773F0C" w:rsidP="00773F0C">
      <w:pPr>
        <w:spacing w:before="100" w:beforeAutospacing="1" w:after="100" w:afterAutospacing="1" w:line="240" w:lineRule="auto"/>
        <w:jc w:val="both"/>
        <w:rPr>
          <w:rFonts w:ascii="Arial" w:eastAsia="Times New Roman" w:hAnsi="Arial" w:cs="Arial"/>
          <w:color w:val="6C6C6C"/>
          <w:sz w:val="24"/>
          <w:szCs w:val="24"/>
          <w:lang w:eastAsia="es-ES"/>
        </w:rPr>
      </w:pPr>
      <w:r w:rsidRPr="00773F0C">
        <w:rPr>
          <w:rFonts w:ascii="Arial" w:eastAsia="Times New Roman" w:hAnsi="Arial" w:cs="Arial"/>
          <w:color w:val="6C6C6C"/>
          <w:sz w:val="24"/>
          <w:szCs w:val="24"/>
          <w:lang w:eastAsia="es-ES"/>
        </w:rPr>
        <w:t xml:space="preserve">De acuerdo con lo dispuesto en el artículo 42.1 de la Ley 35/2006, de 28 de noviembre, del Impuesto sobre la Renta de las Personas Físicas y de modificación parcial de las Leyes de los Impuestos sobre Sociedades, sobre la Renta de no Residentes y sobre el Patrimonio (BOE de 29 de noviembre), en adelante </w:t>
      </w:r>
      <w:proofErr w:type="spellStart"/>
      <w:r w:rsidRPr="00773F0C">
        <w:rPr>
          <w:rFonts w:ascii="Arial" w:eastAsia="Times New Roman" w:hAnsi="Arial" w:cs="Arial"/>
          <w:color w:val="6C6C6C"/>
          <w:sz w:val="24"/>
          <w:szCs w:val="24"/>
          <w:lang w:eastAsia="es-ES"/>
        </w:rPr>
        <w:t>LIRPF</w:t>
      </w:r>
      <w:proofErr w:type="spellEnd"/>
      <w:r w:rsidRPr="00773F0C">
        <w:rPr>
          <w:rFonts w:ascii="Arial" w:eastAsia="Times New Roman" w:hAnsi="Arial" w:cs="Arial"/>
          <w:color w:val="6C6C6C"/>
          <w:sz w:val="24"/>
          <w:szCs w:val="24"/>
          <w:lang w:eastAsia="es-ES"/>
        </w:rPr>
        <w:t xml:space="preserve">, tiene la calificación como rentas en especie: “la utilización, consumo u obtención, para fines particulares, de bienes, derechos o servicios de forma gratuita o por precio inferior al normal de mercado, </w:t>
      </w:r>
      <w:proofErr w:type="spellStart"/>
      <w:r w:rsidRPr="00773F0C">
        <w:rPr>
          <w:rFonts w:ascii="Arial" w:eastAsia="Times New Roman" w:hAnsi="Arial" w:cs="Arial"/>
          <w:color w:val="6C6C6C"/>
          <w:sz w:val="24"/>
          <w:szCs w:val="24"/>
          <w:lang w:eastAsia="es-ES"/>
        </w:rPr>
        <w:t>aún</w:t>
      </w:r>
      <w:proofErr w:type="spellEnd"/>
      <w:r w:rsidRPr="00773F0C">
        <w:rPr>
          <w:rFonts w:ascii="Arial" w:eastAsia="Times New Roman" w:hAnsi="Arial" w:cs="Arial"/>
          <w:color w:val="6C6C6C"/>
          <w:sz w:val="24"/>
          <w:szCs w:val="24"/>
          <w:lang w:eastAsia="es-ES"/>
        </w:rPr>
        <w:t xml:space="preserve"> cuando no suponga un gasto real para quien las conceda”. Añadiendo además que “cuando el pagador de las rentas entregue al contribuyente importes en metálico para que éste adquiera los bienes, derechos o servicios, la renta tendrá la consideración de dineraria”.</w:t>
      </w:r>
    </w:p>
    <w:p w:rsidR="00773F0C" w:rsidRPr="00773F0C" w:rsidRDefault="00773F0C" w:rsidP="00773F0C">
      <w:pPr>
        <w:spacing w:before="100" w:beforeAutospacing="1" w:after="100" w:afterAutospacing="1" w:line="240" w:lineRule="auto"/>
        <w:jc w:val="both"/>
        <w:rPr>
          <w:rFonts w:ascii="Arial" w:eastAsia="Times New Roman" w:hAnsi="Arial" w:cs="Arial"/>
          <w:color w:val="6C6C6C"/>
          <w:sz w:val="24"/>
          <w:szCs w:val="24"/>
          <w:lang w:eastAsia="es-ES"/>
        </w:rPr>
      </w:pPr>
      <w:r w:rsidRPr="00773F0C">
        <w:rPr>
          <w:rFonts w:ascii="Arial" w:eastAsia="Times New Roman" w:hAnsi="Arial" w:cs="Arial"/>
          <w:color w:val="6C6C6C"/>
          <w:sz w:val="24"/>
          <w:szCs w:val="24"/>
          <w:lang w:eastAsia="es-ES"/>
        </w:rPr>
        <w:lastRenderedPageBreak/>
        <w:t>De acuerdo con este precepto, las cuotas del RETA satisfechas por la sociedad a los socios tendrán la consideración de retribución del trabajo en especie, lo que significa la obligación de efectuar un ingreso a cuenta, ingreso que se añadirá al valor de la renta en especie, salvo que su importe hubiera sido repercutido al perceptor de la renta (artículo 43.2 de la Ley del Impuesto) En cambio, si el pago se realiza mediante entrega de su importe dinerario al socio, su calificación sería la de retribución dineraria, por lo que el pago a cuenta (la retención) se detraería de aquel importe.</w:t>
      </w:r>
    </w:p>
    <w:p w:rsidR="00773F0C" w:rsidRPr="00773F0C" w:rsidRDefault="00773F0C" w:rsidP="00773F0C">
      <w:pPr>
        <w:spacing w:before="100" w:beforeAutospacing="1" w:after="100" w:afterAutospacing="1" w:line="240" w:lineRule="auto"/>
        <w:jc w:val="both"/>
        <w:rPr>
          <w:rFonts w:ascii="Arial" w:eastAsia="Times New Roman" w:hAnsi="Arial" w:cs="Arial"/>
          <w:color w:val="6C6C6C"/>
          <w:sz w:val="24"/>
          <w:szCs w:val="24"/>
          <w:lang w:eastAsia="es-ES"/>
        </w:rPr>
      </w:pPr>
      <w:r w:rsidRPr="00773F0C">
        <w:rPr>
          <w:rFonts w:ascii="Arial" w:eastAsia="Times New Roman" w:hAnsi="Arial" w:cs="Arial"/>
          <w:color w:val="6C6C6C"/>
          <w:sz w:val="24"/>
          <w:szCs w:val="24"/>
          <w:lang w:eastAsia="es-ES"/>
        </w:rPr>
        <w:t>La calificación anterior nos lleva, respecto a la deducibilidad de las cotizaciones a la Seguridad Social al artículo 19 de la Ley del Impuesto, donde se establece lo siguiente:</w:t>
      </w:r>
    </w:p>
    <w:p w:rsidR="00773F0C" w:rsidRPr="00773F0C" w:rsidRDefault="00773F0C" w:rsidP="00773F0C">
      <w:pPr>
        <w:spacing w:before="100" w:beforeAutospacing="1" w:after="100" w:afterAutospacing="1" w:line="240" w:lineRule="auto"/>
        <w:jc w:val="both"/>
        <w:rPr>
          <w:rFonts w:ascii="Arial" w:eastAsia="Times New Roman" w:hAnsi="Arial" w:cs="Arial"/>
          <w:color w:val="6C6C6C"/>
          <w:sz w:val="24"/>
          <w:szCs w:val="24"/>
          <w:lang w:eastAsia="es-ES"/>
        </w:rPr>
      </w:pPr>
      <w:r w:rsidRPr="00773F0C">
        <w:rPr>
          <w:rFonts w:ascii="Arial" w:eastAsia="Times New Roman" w:hAnsi="Arial" w:cs="Arial"/>
          <w:color w:val="6C6C6C"/>
          <w:sz w:val="24"/>
          <w:szCs w:val="24"/>
          <w:lang w:eastAsia="es-ES"/>
        </w:rPr>
        <w:t>“1. El rendimiento neto del trabajo será el resultado de disminuir el rendimiento íntegro en el importe de los gastos deducibles.</w:t>
      </w:r>
    </w:p>
    <w:p w:rsidR="00773F0C" w:rsidRPr="00773F0C" w:rsidRDefault="00773F0C" w:rsidP="00773F0C">
      <w:pPr>
        <w:spacing w:before="100" w:beforeAutospacing="1" w:after="100" w:afterAutospacing="1" w:line="240" w:lineRule="auto"/>
        <w:jc w:val="both"/>
        <w:rPr>
          <w:rFonts w:ascii="Arial" w:eastAsia="Times New Roman" w:hAnsi="Arial" w:cs="Arial"/>
          <w:color w:val="6C6C6C"/>
          <w:sz w:val="24"/>
          <w:szCs w:val="24"/>
          <w:lang w:eastAsia="es-ES"/>
        </w:rPr>
      </w:pPr>
      <w:r w:rsidRPr="00773F0C">
        <w:rPr>
          <w:rFonts w:ascii="Arial" w:eastAsia="Times New Roman" w:hAnsi="Arial" w:cs="Arial"/>
          <w:color w:val="6C6C6C"/>
          <w:sz w:val="24"/>
          <w:szCs w:val="24"/>
          <w:lang w:eastAsia="es-ES"/>
        </w:rPr>
        <w:t>2. Tendrán la consideración de gastos deducibles exclusivamente los siguientes:</w:t>
      </w:r>
    </w:p>
    <w:p w:rsidR="00773F0C" w:rsidRPr="00773F0C" w:rsidRDefault="00773F0C" w:rsidP="00773F0C">
      <w:pPr>
        <w:spacing w:before="100" w:beforeAutospacing="1" w:after="100" w:afterAutospacing="1" w:line="240" w:lineRule="auto"/>
        <w:jc w:val="both"/>
        <w:rPr>
          <w:rFonts w:ascii="Arial" w:eastAsia="Times New Roman" w:hAnsi="Arial" w:cs="Arial"/>
          <w:color w:val="6C6C6C"/>
          <w:sz w:val="24"/>
          <w:szCs w:val="24"/>
          <w:lang w:eastAsia="es-ES"/>
        </w:rPr>
      </w:pPr>
      <w:r w:rsidRPr="00773F0C">
        <w:rPr>
          <w:rFonts w:ascii="Arial" w:eastAsia="Times New Roman" w:hAnsi="Arial" w:cs="Arial"/>
          <w:color w:val="6C6C6C"/>
          <w:sz w:val="24"/>
          <w:szCs w:val="24"/>
          <w:lang w:eastAsia="es-ES"/>
        </w:rPr>
        <w:t>a) Las cotizaciones a la Seguridad Social o a mutualidades generales obligatorias de funcionarios.</w:t>
      </w:r>
    </w:p>
    <w:p w:rsidR="00773F0C" w:rsidRPr="00773F0C" w:rsidRDefault="00773F0C" w:rsidP="00773F0C">
      <w:pPr>
        <w:spacing w:before="100" w:beforeAutospacing="1" w:after="100" w:afterAutospacing="1" w:line="240" w:lineRule="auto"/>
        <w:jc w:val="both"/>
        <w:rPr>
          <w:rFonts w:ascii="Arial" w:eastAsia="Times New Roman" w:hAnsi="Arial" w:cs="Arial"/>
          <w:color w:val="6C6C6C"/>
          <w:sz w:val="24"/>
          <w:szCs w:val="24"/>
          <w:lang w:eastAsia="es-ES"/>
        </w:rPr>
      </w:pPr>
      <w:r w:rsidRPr="00773F0C">
        <w:rPr>
          <w:rFonts w:ascii="Arial" w:eastAsia="Times New Roman" w:hAnsi="Arial" w:cs="Arial"/>
          <w:color w:val="6C6C6C"/>
          <w:sz w:val="24"/>
          <w:szCs w:val="24"/>
          <w:lang w:eastAsia="es-ES"/>
        </w:rPr>
        <w:t>(…)”.</w:t>
      </w:r>
    </w:p>
    <w:p w:rsidR="00773F0C" w:rsidRPr="00773F0C" w:rsidRDefault="00773F0C" w:rsidP="00773F0C">
      <w:pPr>
        <w:spacing w:before="100" w:beforeAutospacing="1" w:after="100" w:afterAutospacing="1" w:line="240" w:lineRule="auto"/>
        <w:jc w:val="both"/>
        <w:rPr>
          <w:rFonts w:ascii="Arial" w:eastAsia="Times New Roman" w:hAnsi="Arial" w:cs="Arial"/>
          <w:color w:val="6C6C6C"/>
          <w:sz w:val="24"/>
          <w:szCs w:val="24"/>
          <w:lang w:eastAsia="es-ES"/>
        </w:rPr>
      </w:pPr>
      <w:r w:rsidRPr="00773F0C">
        <w:rPr>
          <w:rFonts w:ascii="Arial" w:eastAsia="Times New Roman" w:hAnsi="Arial" w:cs="Arial"/>
          <w:color w:val="6C6C6C"/>
          <w:sz w:val="24"/>
          <w:szCs w:val="24"/>
          <w:lang w:eastAsia="es-ES"/>
        </w:rPr>
        <w:t>Por tanto,</w:t>
      </w:r>
      <w:r w:rsidRPr="00773F0C">
        <w:rPr>
          <w:rFonts w:ascii="Arial" w:eastAsia="Times New Roman" w:hAnsi="Arial" w:cs="Arial"/>
          <w:color w:val="F97300"/>
          <w:sz w:val="24"/>
          <w:szCs w:val="24"/>
          <w:lang w:eastAsia="es-ES"/>
        </w:rPr>
        <w:t xml:space="preserve"> las cotizaciones al “Régimen de Autónomos”</w:t>
      </w:r>
      <w:r w:rsidRPr="00773F0C">
        <w:rPr>
          <w:rFonts w:ascii="Arial" w:eastAsia="Times New Roman" w:hAnsi="Arial" w:cs="Arial"/>
          <w:color w:val="6C6C6C"/>
          <w:sz w:val="24"/>
          <w:szCs w:val="24"/>
          <w:lang w:eastAsia="es-ES"/>
        </w:rPr>
        <w:t xml:space="preserve"> que corresponde realizar a los socios-trabajadores </w:t>
      </w:r>
      <w:r w:rsidRPr="00773F0C">
        <w:rPr>
          <w:rFonts w:ascii="Arial" w:eastAsia="Times New Roman" w:hAnsi="Arial" w:cs="Arial"/>
          <w:color w:val="F97300"/>
          <w:sz w:val="24"/>
          <w:szCs w:val="24"/>
          <w:lang w:eastAsia="es-ES"/>
        </w:rPr>
        <w:t>tendrán para aquellos la consideración de gasto deducible</w:t>
      </w:r>
      <w:r w:rsidRPr="00773F0C">
        <w:rPr>
          <w:rFonts w:ascii="Arial" w:eastAsia="Times New Roman" w:hAnsi="Arial" w:cs="Arial"/>
          <w:color w:val="6C6C6C"/>
          <w:sz w:val="24"/>
          <w:szCs w:val="24"/>
          <w:lang w:eastAsia="es-ES"/>
        </w:rPr>
        <w:t xml:space="preserve"> para la determinación del rendimiento neto del trabajo, y ello con independencia de </w:t>
      </w:r>
      <w:r w:rsidRPr="00773F0C">
        <w:rPr>
          <w:rFonts w:ascii="Arial" w:eastAsia="Times New Roman" w:hAnsi="Arial" w:cs="Arial"/>
          <w:color w:val="F97300"/>
          <w:sz w:val="24"/>
          <w:szCs w:val="24"/>
          <w:lang w:eastAsia="es-ES"/>
        </w:rPr>
        <w:t>si el pago de dichas cotizaciones lo realiza la entidad</w:t>
      </w:r>
      <w:r w:rsidRPr="00773F0C">
        <w:rPr>
          <w:rFonts w:ascii="Arial" w:eastAsia="Times New Roman" w:hAnsi="Arial" w:cs="Arial"/>
          <w:color w:val="6C6C6C"/>
          <w:sz w:val="24"/>
          <w:szCs w:val="24"/>
          <w:lang w:eastAsia="es-ES"/>
        </w:rPr>
        <w:t xml:space="preserve"> como simple mediadora de pago o asumiendo su coste, en cuyo caso (asunción del coste) </w:t>
      </w:r>
      <w:r w:rsidRPr="00773F0C">
        <w:rPr>
          <w:rFonts w:ascii="Arial" w:eastAsia="Times New Roman" w:hAnsi="Arial" w:cs="Arial"/>
          <w:color w:val="F97300"/>
          <w:sz w:val="24"/>
          <w:szCs w:val="24"/>
          <w:lang w:eastAsia="es-ES"/>
        </w:rPr>
        <w:t>las cotizaciones tendrán además la consideración de retribución en especie</w:t>
      </w:r>
      <w:r w:rsidRPr="00773F0C">
        <w:rPr>
          <w:rFonts w:ascii="Arial" w:eastAsia="Times New Roman" w:hAnsi="Arial" w:cs="Arial"/>
          <w:color w:val="6C6C6C"/>
          <w:sz w:val="24"/>
          <w:szCs w:val="24"/>
          <w:lang w:eastAsia="es-ES"/>
        </w:rPr>
        <w:t xml:space="preserve"> para dichos socios.</w:t>
      </w:r>
    </w:p>
    <w:p w:rsidR="00773F0C" w:rsidRPr="00773F0C" w:rsidRDefault="00773F0C" w:rsidP="00773F0C">
      <w:pPr>
        <w:spacing w:before="100" w:beforeAutospacing="1" w:after="100" w:afterAutospacing="1" w:line="240" w:lineRule="auto"/>
        <w:jc w:val="both"/>
        <w:rPr>
          <w:rFonts w:ascii="Arial" w:eastAsia="Times New Roman" w:hAnsi="Arial" w:cs="Arial"/>
          <w:color w:val="6C6C6C"/>
          <w:sz w:val="24"/>
          <w:szCs w:val="24"/>
          <w:lang w:eastAsia="es-ES"/>
        </w:rPr>
      </w:pPr>
      <w:r w:rsidRPr="00773F0C">
        <w:rPr>
          <w:rFonts w:ascii="Arial" w:eastAsia="Times New Roman" w:hAnsi="Arial" w:cs="Arial"/>
          <w:color w:val="6C6C6C"/>
          <w:sz w:val="24"/>
          <w:szCs w:val="24"/>
          <w:lang w:eastAsia="es-ES"/>
        </w:rPr>
        <w:t>Lo que comunico a Vd. con efectos vinculantes, conforme a lo dispuesto en el apartado 1 del artículo 89 de la Ley 58/2003, de 17 de diciembre, General Tributaria.</w:t>
      </w:r>
    </w:p>
    <w:p w:rsidR="003D00EE" w:rsidRDefault="003D00EE">
      <w:bookmarkStart w:id="0" w:name="_GoBack"/>
      <w:bookmarkEnd w:id="0"/>
    </w:p>
    <w:sectPr w:rsidR="003D00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Neu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Roboto Slab">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0C"/>
    <w:rsid w:val="003D00EE"/>
    <w:rsid w:val="00773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C31B5-2FE1-4DA6-BF8D-B77EF408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20791">
      <w:bodyDiv w:val="1"/>
      <w:marLeft w:val="0"/>
      <w:marRight w:val="0"/>
      <w:marTop w:val="0"/>
      <w:marBottom w:val="0"/>
      <w:divBdr>
        <w:top w:val="none" w:sz="0" w:space="0" w:color="auto"/>
        <w:left w:val="none" w:sz="0" w:space="0" w:color="auto"/>
        <w:bottom w:val="none" w:sz="0" w:space="0" w:color="auto"/>
        <w:right w:val="none" w:sz="0" w:space="0" w:color="auto"/>
      </w:divBdr>
      <w:divsChild>
        <w:div w:id="1769081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2019-05-21T09:50:00Z</dcterms:created>
  <dcterms:modified xsi:type="dcterms:W3CDTF">2019-05-21T09:51:00Z</dcterms:modified>
</cp:coreProperties>
</file>