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00818" w14:textId="77777777" w:rsidR="00AB6A71" w:rsidRPr="00494028" w:rsidRDefault="00AB6A71" w:rsidP="00494028">
      <w:pPr>
        <w:shd w:val="clear" w:color="auto" w:fill="FFFFFF"/>
        <w:spacing w:before="100" w:beforeAutospacing="1" w:after="100" w:afterAutospacing="1" w:line="240" w:lineRule="auto"/>
        <w:jc w:val="center"/>
        <w:outlineLvl w:val="0"/>
        <w:rPr>
          <w:rFonts w:ascii="Times New Roman" w:eastAsia="Times New Roman" w:hAnsi="Times New Roman" w:cs="Times New Roman"/>
          <w:caps/>
          <w:color w:val="F97300"/>
          <w:kern w:val="36"/>
          <w:sz w:val="48"/>
          <w:szCs w:val="48"/>
          <w:lang w:eastAsia="es-ES"/>
        </w:rPr>
      </w:pPr>
      <w:r w:rsidRPr="00494028">
        <w:rPr>
          <w:rFonts w:ascii="Times New Roman" w:eastAsia="Times New Roman" w:hAnsi="Times New Roman" w:cs="Times New Roman"/>
          <w:caps/>
          <w:color w:val="F97300"/>
          <w:kern w:val="36"/>
          <w:sz w:val="48"/>
          <w:szCs w:val="48"/>
          <w:lang w:eastAsia="es-ES"/>
        </w:rPr>
        <w:t>¿Cómo actuar para impedir el inicio del período ejecutivo de deudas tributarias caso de concesión de financiación por COVID-19?</w:t>
      </w:r>
    </w:p>
    <w:p w14:paraId="1034F6D9" w14:textId="15956DEC" w:rsidR="00AB6A71" w:rsidRPr="00494028" w:rsidRDefault="00AB6A71" w:rsidP="00494028">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494028">
        <w:rPr>
          <w:rFonts w:ascii="Comic Sans MS" w:eastAsia="Times New Roman" w:hAnsi="Comic Sans MS" w:cs="Arial"/>
          <w:color w:val="6C6C6C"/>
          <w:sz w:val="28"/>
          <w:szCs w:val="28"/>
          <w:lang w:eastAsia="es-ES"/>
        </w:rPr>
        <w:t>Ya en nuestro comentario denominado </w:t>
      </w:r>
      <w:r w:rsidRPr="00494028">
        <w:rPr>
          <w:rFonts w:ascii="Comic Sans MS" w:eastAsia="Times New Roman" w:hAnsi="Comic Sans MS" w:cs="Arial"/>
          <w:b/>
          <w:bCs/>
          <w:color w:val="0084C4"/>
          <w:sz w:val="28"/>
          <w:szCs w:val="28"/>
          <w:lang w:eastAsia="es-ES"/>
        </w:rPr>
        <w:t>Real Decreto-ley 15/2020</w:t>
      </w:r>
      <w:r w:rsidRPr="00494028">
        <w:rPr>
          <w:rFonts w:ascii="Comic Sans MS" w:eastAsia="Times New Roman" w:hAnsi="Comic Sans MS" w:cs="Arial"/>
          <w:color w:val="6C6C6C"/>
          <w:sz w:val="28"/>
          <w:szCs w:val="28"/>
          <w:lang w:eastAsia="es-ES"/>
        </w:rPr>
        <w:t>: "</w:t>
      </w:r>
      <w:hyperlink r:id="rId4" w:tgtFrame="_self" w:history="1">
        <w:r w:rsidRPr="00494028">
          <w:rPr>
            <w:rFonts w:ascii="Comic Sans MS" w:eastAsia="Times New Roman" w:hAnsi="Comic Sans MS" w:cs="Arial"/>
            <w:b/>
            <w:bCs/>
            <w:color w:val="0084C4"/>
            <w:sz w:val="28"/>
            <w:szCs w:val="28"/>
            <w:lang w:eastAsia="es-ES"/>
          </w:rPr>
          <w:t>Medidas en el Ámbito de Suspensión de plazos y aplazamientos tributarios</w:t>
        </w:r>
      </w:hyperlink>
      <w:r w:rsidRPr="00494028">
        <w:rPr>
          <w:rFonts w:ascii="Comic Sans MS" w:eastAsia="Times New Roman" w:hAnsi="Comic Sans MS" w:cs="Arial"/>
          <w:color w:val="6C6C6C"/>
          <w:sz w:val="28"/>
          <w:szCs w:val="28"/>
          <w:lang w:eastAsia="es-ES"/>
        </w:rPr>
        <w:t>", relatábamos como este Real Decreto-ley, como una medida complementaria a la posibilidad de solicitar </w:t>
      </w:r>
      <w:r w:rsidRPr="00494028">
        <w:rPr>
          <w:rFonts w:ascii="Comic Sans MS" w:eastAsia="Times New Roman" w:hAnsi="Comic Sans MS" w:cs="Arial"/>
          <w:b/>
          <w:bCs/>
          <w:color w:val="0084C4"/>
          <w:sz w:val="28"/>
          <w:szCs w:val="28"/>
          <w:lang w:eastAsia="es-ES"/>
        </w:rPr>
        <w:t>aplazamientos y fraccionamientos de las deudas tributarias</w:t>
      </w:r>
      <w:r w:rsidRPr="00494028">
        <w:rPr>
          <w:rFonts w:ascii="Comic Sans MS" w:eastAsia="Times New Roman" w:hAnsi="Comic Sans MS" w:cs="Arial"/>
          <w:color w:val="6C6C6C"/>
          <w:sz w:val="28"/>
          <w:szCs w:val="28"/>
          <w:lang w:eastAsia="es-ES"/>
        </w:rPr>
        <w:t> en condiciones especiales por el COVID-19, establecía en su artículo 12, la posibilidad de impedir el inicio del periodo ejecutivo de la deuda tributaria, para aquellos contribuyentes que hayan presentado en plazo voluntario sus declaraciones-liquidaciones y autoliquidaciones cuyo plazo de presentación haya concluido entre el 20 de abril de 2020 y el 30 de mayo de 2020, sin efectuar el ingreso correspondiente de las deudas tributarias resultantes de las mismas.</w:t>
      </w:r>
    </w:p>
    <w:p w14:paraId="5AEEA37E" w14:textId="77777777" w:rsidR="00AB6A71" w:rsidRPr="00494028" w:rsidRDefault="00AB6A71" w:rsidP="00494028">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Comic Sans MS" w:eastAsia="Times New Roman" w:hAnsi="Comic Sans MS" w:cs="Times New Roman"/>
          <w:color w:val="FFFFFF"/>
          <w:sz w:val="28"/>
          <w:szCs w:val="28"/>
          <w:lang w:eastAsia="es-ES"/>
        </w:rPr>
      </w:pPr>
      <w:r w:rsidRPr="00494028">
        <w:rPr>
          <w:rFonts w:ascii="Comic Sans MS" w:eastAsia="Times New Roman" w:hAnsi="Comic Sans MS" w:cs="Times New Roman"/>
          <w:color w:val="FFFFFF"/>
          <w:sz w:val="28"/>
          <w:szCs w:val="28"/>
          <w:lang w:eastAsia="es-ES"/>
        </w:rPr>
        <w:t>Recuerde:</w:t>
      </w:r>
    </w:p>
    <w:p w14:paraId="10030F9D" w14:textId="77777777" w:rsidR="00AB6A71" w:rsidRPr="00494028" w:rsidRDefault="00AB6A71" w:rsidP="00494028">
      <w:pPr>
        <w:shd w:val="clear" w:color="auto" w:fill="FDF4EB"/>
        <w:spacing w:after="0" w:line="240" w:lineRule="auto"/>
        <w:jc w:val="both"/>
        <w:rPr>
          <w:rFonts w:ascii="Comic Sans MS" w:eastAsia="Times New Roman" w:hAnsi="Comic Sans MS" w:cs="Arial"/>
          <w:i/>
          <w:iCs/>
          <w:color w:val="6C6C6C"/>
          <w:sz w:val="28"/>
          <w:szCs w:val="28"/>
          <w:lang w:eastAsia="es-ES"/>
        </w:rPr>
      </w:pPr>
      <w:r w:rsidRPr="00494028">
        <w:rPr>
          <w:rFonts w:ascii="Comic Sans MS" w:eastAsia="Times New Roman" w:hAnsi="Comic Sans MS" w:cs="Arial"/>
          <w:i/>
          <w:iCs/>
          <w:color w:val="6C6C6C"/>
          <w:sz w:val="28"/>
          <w:szCs w:val="28"/>
          <w:lang w:eastAsia="es-ES"/>
        </w:rPr>
        <w:t>Se trata de la posibilidad de supeditar el pago de las deudas tributarias a la obtención de la financiación avalada por el Estado con destino el pago de las mismas.</w:t>
      </w:r>
    </w:p>
    <w:p w14:paraId="607AB0A8" w14:textId="34EDEA84" w:rsidR="00AB6A71" w:rsidRPr="00494028" w:rsidRDefault="00AB6A71" w:rsidP="00494028">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494028">
        <w:rPr>
          <w:rFonts w:ascii="Comic Sans MS" w:eastAsia="Times New Roman" w:hAnsi="Comic Sans MS" w:cs="Arial"/>
          <w:color w:val="6C6C6C"/>
          <w:sz w:val="28"/>
          <w:szCs w:val="28"/>
          <w:lang w:eastAsia="es-ES"/>
        </w:rPr>
        <w:t>Para ello, entre otros requisitos, era necesario que el contribuyente hubiera solicitado con anterioridad o dentro del plazo que establezca la normativa de cada tributo para la presentación de la declaración-liquidación o autoliquidación, la financiación que cuenta con el aval del Estado del artículo 29 del </w:t>
      </w:r>
      <w:r w:rsidRPr="00494028">
        <w:rPr>
          <w:rFonts w:ascii="Comic Sans MS" w:eastAsia="Times New Roman" w:hAnsi="Comic Sans MS" w:cs="Arial"/>
          <w:b/>
          <w:bCs/>
          <w:color w:val="0084C4"/>
          <w:sz w:val="28"/>
          <w:szCs w:val="28"/>
          <w:lang w:eastAsia="es-ES"/>
        </w:rPr>
        <w:t>Real Decreto-ley 8/2020</w:t>
      </w:r>
      <w:r w:rsidRPr="00494028">
        <w:rPr>
          <w:rFonts w:ascii="Comic Sans MS" w:eastAsia="Times New Roman" w:hAnsi="Comic Sans MS" w:cs="Arial"/>
          <w:color w:val="6C6C6C"/>
          <w:sz w:val="28"/>
          <w:szCs w:val="28"/>
          <w:lang w:eastAsia="es-ES"/>
        </w:rPr>
        <w:t>, para el pago de las deudas tributarias resultantes de dichas declaraciones-liquidaciones y autoliquidaciones y por, al menos, el importe de dichas deudas.</w:t>
      </w:r>
    </w:p>
    <w:p w14:paraId="5DD806D4" w14:textId="77777777" w:rsidR="00AB6A71" w:rsidRPr="00494028" w:rsidRDefault="00AB6A71" w:rsidP="00494028">
      <w:pPr>
        <w:shd w:val="clear" w:color="auto" w:fill="423222"/>
        <w:spacing w:beforeAutospacing="1" w:after="0" w:afterAutospacing="1" w:line="240" w:lineRule="auto"/>
        <w:jc w:val="both"/>
        <w:rPr>
          <w:rFonts w:ascii="Comic Sans MS" w:eastAsia="Times New Roman" w:hAnsi="Comic Sans MS" w:cs="Arial"/>
          <w:color w:val="FFFFFF" w:themeColor="background1"/>
          <w:sz w:val="28"/>
          <w:szCs w:val="28"/>
          <w:lang w:eastAsia="es-ES"/>
        </w:rPr>
      </w:pPr>
      <w:r w:rsidRPr="00494028">
        <w:rPr>
          <w:rFonts w:ascii="Comic Sans MS" w:eastAsia="Times New Roman" w:hAnsi="Comic Sans MS" w:cs="Arial"/>
          <w:color w:val="FFFFFF" w:themeColor="background1"/>
          <w:sz w:val="28"/>
          <w:szCs w:val="28"/>
          <w:lang w:eastAsia="es-ES"/>
        </w:rPr>
        <w:t>Para que no se inicie el período ejecutivo es necesario que el pago se realice con la financiación obtenida, pues de lo contrario, no se entendería cumplido el requisito exigido.</w:t>
      </w:r>
    </w:p>
    <w:p w14:paraId="438ADF23" w14:textId="057EE09F" w:rsidR="00AB6A71" w:rsidRPr="00494028" w:rsidRDefault="00AB6A71" w:rsidP="00494028">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494028">
        <w:rPr>
          <w:rFonts w:ascii="Comic Sans MS" w:eastAsia="Times New Roman" w:hAnsi="Comic Sans MS" w:cs="Arial"/>
          <w:color w:val="6C6C6C"/>
          <w:sz w:val="28"/>
          <w:szCs w:val="28"/>
          <w:lang w:eastAsia="es-ES"/>
        </w:rPr>
        <w:t>En este sentido, la Agencia Estatal de la Administración Tributaria -AEAT- ha articulado unas instrucciones para la puesta en práctica de "este impedimento" al tiempo que ha facilitado con determinados automatismos la formalización de esta solicitud. De esta forma, siguiendo la ruta disponible en la Sede Electrónica de la p</w:t>
      </w:r>
      <w:r w:rsidR="00494028">
        <w:rPr>
          <w:rFonts w:ascii="Comic Sans MS" w:eastAsia="Times New Roman" w:hAnsi="Comic Sans MS" w:cs="Arial"/>
          <w:color w:val="6C6C6C"/>
          <w:sz w:val="28"/>
          <w:szCs w:val="28"/>
          <w:lang w:eastAsia="es-ES"/>
        </w:rPr>
        <w:t>ro</w:t>
      </w:r>
      <w:r w:rsidRPr="00494028">
        <w:rPr>
          <w:rFonts w:ascii="Comic Sans MS" w:eastAsia="Times New Roman" w:hAnsi="Comic Sans MS" w:cs="Arial"/>
          <w:color w:val="6C6C6C"/>
          <w:sz w:val="28"/>
          <w:szCs w:val="28"/>
          <w:lang w:eastAsia="es-ES"/>
        </w:rPr>
        <w:t>pia AEAT, </w:t>
      </w:r>
      <w:r w:rsidRPr="00494028">
        <w:rPr>
          <w:rFonts w:ascii="Comic Sans MS" w:eastAsia="Times New Roman" w:hAnsi="Comic Sans MS" w:cs="Arial"/>
          <w:b/>
          <w:bCs/>
          <w:color w:val="6C6C6C"/>
          <w:sz w:val="28"/>
          <w:szCs w:val="28"/>
          <w:lang w:eastAsia="es-ES"/>
        </w:rPr>
        <w:t xml:space="preserve">Todos los trámites </w:t>
      </w:r>
      <w:r w:rsidRPr="00494028">
        <w:rPr>
          <w:rFonts w:ascii="Times New Roman" w:eastAsia="Times New Roman" w:hAnsi="Times New Roman" w:cs="Times New Roman"/>
          <w:b/>
          <w:bCs/>
          <w:color w:val="6C6C6C"/>
          <w:sz w:val="28"/>
          <w:szCs w:val="28"/>
          <w:lang w:eastAsia="es-ES"/>
        </w:rPr>
        <w:t>→</w:t>
      </w:r>
      <w:r w:rsidRPr="00494028">
        <w:rPr>
          <w:rFonts w:ascii="Comic Sans MS" w:eastAsia="Times New Roman" w:hAnsi="Comic Sans MS" w:cs="Arial"/>
          <w:b/>
          <w:bCs/>
          <w:color w:val="6C6C6C"/>
          <w:sz w:val="28"/>
          <w:szCs w:val="28"/>
          <w:lang w:eastAsia="es-ES"/>
        </w:rPr>
        <w:t xml:space="preserve"> Recaudaci</w:t>
      </w:r>
      <w:r w:rsidRPr="00494028">
        <w:rPr>
          <w:rFonts w:ascii="Comic Sans MS" w:eastAsia="Times New Roman" w:hAnsi="Comic Sans MS" w:cs="Comic Sans MS"/>
          <w:b/>
          <w:bCs/>
          <w:color w:val="6C6C6C"/>
          <w:sz w:val="28"/>
          <w:szCs w:val="28"/>
          <w:lang w:eastAsia="es-ES"/>
        </w:rPr>
        <w:t>ó</w:t>
      </w:r>
      <w:r w:rsidRPr="00494028">
        <w:rPr>
          <w:rFonts w:ascii="Comic Sans MS" w:eastAsia="Times New Roman" w:hAnsi="Comic Sans MS" w:cs="Arial"/>
          <w:b/>
          <w:bCs/>
          <w:color w:val="6C6C6C"/>
          <w:sz w:val="28"/>
          <w:szCs w:val="28"/>
          <w:lang w:eastAsia="es-ES"/>
        </w:rPr>
        <w:t xml:space="preserve">n </w:t>
      </w:r>
      <w:r w:rsidRPr="00494028">
        <w:rPr>
          <w:rFonts w:ascii="Times New Roman" w:eastAsia="Times New Roman" w:hAnsi="Times New Roman" w:cs="Times New Roman"/>
          <w:b/>
          <w:bCs/>
          <w:color w:val="6C6C6C"/>
          <w:sz w:val="28"/>
          <w:szCs w:val="28"/>
          <w:lang w:eastAsia="es-ES"/>
        </w:rPr>
        <w:t>→</w:t>
      </w:r>
      <w:r w:rsidRPr="00494028">
        <w:rPr>
          <w:rFonts w:ascii="Comic Sans MS" w:eastAsia="Times New Roman" w:hAnsi="Comic Sans MS" w:cs="Arial"/>
          <w:b/>
          <w:bCs/>
          <w:color w:val="6C6C6C"/>
          <w:sz w:val="28"/>
          <w:szCs w:val="28"/>
          <w:lang w:eastAsia="es-ES"/>
        </w:rPr>
        <w:t xml:space="preserve"> Otros </w:t>
      </w:r>
      <w:r w:rsidRPr="00494028">
        <w:rPr>
          <w:rFonts w:ascii="Times New Roman" w:eastAsia="Times New Roman" w:hAnsi="Times New Roman" w:cs="Times New Roman"/>
          <w:b/>
          <w:bCs/>
          <w:color w:val="6C6C6C"/>
          <w:sz w:val="28"/>
          <w:szCs w:val="28"/>
          <w:lang w:eastAsia="es-ES"/>
        </w:rPr>
        <w:t>→</w:t>
      </w:r>
      <w:r w:rsidRPr="00494028">
        <w:rPr>
          <w:rFonts w:ascii="Comic Sans MS" w:eastAsia="Times New Roman" w:hAnsi="Comic Sans MS" w:cs="Arial"/>
          <w:b/>
          <w:bCs/>
          <w:color w:val="6C6C6C"/>
          <w:sz w:val="28"/>
          <w:szCs w:val="28"/>
          <w:lang w:eastAsia="es-ES"/>
        </w:rPr>
        <w:t xml:space="preserve"> Otros procedimientos de Recaudaci</w:t>
      </w:r>
      <w:r w:rsidRPr="00494028">
        <w:rPr>
          <w:rFonts w:ascii="Comic Sans MS" w:eastAsia="Times New Roman" w:hAnsi="Comic Sans MS" w:cs="Comic Sans MS"/>
          <w:b/>
          <w:bCs/>
          <w:color w:val="6C6C6C"/>
          <w:sz w:val="28"/>
          <w:szCs w:val="28"/>
          <w:lang w:eastAsia="es-ES"/>
        </w:rPr>
        <w:t>ó</w:t>
      </w:r>
      <w:r w:rsidRPr="00494028">
        <w:rPr>
          <w:rFonts w:ascii="Comic Sans MS" w:eastAsia="Times New Roman" w:hAnsi="Comic Sans MS" w:cs="Arial"/>
          <w:b/>
          <w:bCs/>
          <w:color w:val="6C6C6C"/>
          <w:sz w:val="28"/>
          <w:szCs w:val="28"/>
          <w:lang w:eastAsia="es-ES"/>
        </w:rPr>
        <w:t>n</w:t>
      </w:r>
      <w:r w:rsidRPr="00494028">
        <w:rPr>
          <w:rFonts w:ascii="Comic Sans MS" w:eastAsia="Times New Roman" w:hAnsi="Comic Sans MS" w:cs="Arial"/>
          <w:color w:val="6C6C6C"/>
          <w:sz w:val="28"/>
          <w:szCs w:val="28"/>
          <w:lang w:eastAsia="es-ES"/>
        </w:rPr>
        <w:t> podremos acceder a esta posibilidad:</w:t>
      </w:r>
    </w:p>
    <w:p w14:paraId="419F1FAD" w14:textId="77777777" w:rsidR="00AB6A71" w:rsidRPr="00494028" w:rsidRDefault="00AB6A71" w:rsidP="00494028">
      <w:pPr>
        <w:spacing w:after="0" w:line="240" w:lineRule="auto"/>
        <w:jc w:val="both"/>
        <w:rPr>
          <w:rFonts w:ascii="Comic Sans MS" w:eastAsia="Times New Roman" w:hAnsi="Comic Sans MS" w:cs="Times New Roman"/>
          <w:sz w:val="28"/>
          <w:szCs w:val="28"/>
          <w:lang w:eastAsia="es-ES"/>
        </w:rPr>
      </w:pPr>
      <w:r w:rsidRPr="00494028">
        <w:rPr>
          <w:rFonts w:ascii="Comic Sans MS" w:eastAsia="Times New Roman" w:hAnsi="Comic Sans MS" w:cs="Times New Roman"/>
          <w:noProof/>
          <w:sz w:val="28"/>
          <w:szCs w:val="28"/>
          <w:lang w:eastAsia="es-ES"/>
        </w:rPr>
        <w:drawing>
          <wp:inline distT="0" distB="0" distL="0" distR="0" wp14:anchorId="6A3FB5E5" wp14:editId="2932074E">
            <wp:extent cx="7429500" cy="3067050"/>
            <wp:effectExtent l="0" t="0" r="0" b="0"/>
            <wp:docPr id="6" name="Imagen 6" descr="Pas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0" cy="3067050"/>
                    </a:xfrm>
                    <a:prstGeom prst="rect">
                      <a:avLst/>
                    </a:prstGeom>
                    <a:noFill/>
                    <a:ln>
                      <a:noFill/>
                    </a:ln>
                  </pic:spPr>
                </pic:pic>
              </a:graphicData>
            </a:graphic>
          </wp:inline>
        </w:drawing>
      </w:r>
    </w:p>
    <w:p w14:paraId="108F0126" w14:textId="77777777" w:rsidR="00AB6A71" w:rsidRPr="00494028" w:rsidRDefault="00AB6A71" w:rsidP="00494028">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494028">
        <w:rPr>
          <w:rFonts w:ascii="Comic Sans MS" w:eastAsia="Times New Roman" w:hAnsi="Comic Sans MS" w:cs="Arial"/>
          <w:color w:val="6C6C6C"/>
          <w:sz w:val="28"/>
          <w:szCs w:val="28"/>
          <w:lang w:eastAsia="es-ES"/>
        </w:rPr>
        <w:t>Seleccionando la opción de solicitud habremos de identificarnos con nuestro certificado u otro medio de forma que nos situemos en el formulario de generación de la propia solicitud aquí presentado:</w:t>
      </w:r>
    </w:p>
    <w:p w14:paraId="592BC55A" w14:textId="77777777" w:rsidR="00AB6A71" w:rsidRPr="00494028" w:rsidRDefault="00AB6A71" w:rsidP="00494028">
      <w:pPr>
        <w:spacing w:after="0" w:line="240" w:lineRule="auto"/>
        <w:jc w:val="both"/>
        <w:rPr>
          <w:rFonts w:ascii="Comic Sans MS" w:eastAsia="Times New Roman" w:hAnsi="Comic Sans MS" w:cs="Times New Roman"/>
          <w:sz w:val="28"/>
          <w:szCs w:val="28"/>
          <w:lang w:eastAsia="es-ES"/>
        </w:rPr>
      </w:pPr>
      <w:r w:rsidRPr="00494028">
        <w:rPr>
          <w:rFonts w:ascii="Comic Sans MS" w:eastAsia="Times New Roman" w:hAnsi="Comic Sans MS" w:cs="Times New Roman"/>
          <w:noProof/>
          <w:sz w:val="28"/>
          <w:szCs w:val="28"/>
          <w:lang w:eastAsia="es-ES"/>
        </w:rPr>
        <w:drawing>
          <wp:inline distT="0" distB="0" distL="0" distR="0" wp14:anchorId="7F4F1180" wp14:editId="175F575C">
            <wp:extent cx="7448550" cy="5457825"/>
            <wp:effectExtent l="0" t="0" r="0" b="9525"/>
            <wp:docPr id="7" name="Imagen 7" descr="Pas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8550" cy="5457825"/>
                    </a:xfrm>
                    <a:prstGeom prst="rect">
                      <a:avLst/>
                    </a:prstGeom>
                    <a:noFill/>
                    <a:ln>
                      <a:noFill/>
                    </a:ln>
                  </pic:spPr>
                </pic:pic>
              </a:graphicData>
            </a:graphic>
          </wp:inline>
        </w:drawing>
      </w:r>
      <w:r w:rsidRPr="00494028">
        <w:rPr>
          <w:rFonts w:ascii="Comic Sans MS" w:eastAsia="Times New Roman" w:hAnsi="Comic Sans MS" w:cs="Times New Roman"/>
          <w:noProof/>
          <w:sz w:val="28"/>
          <w:szCs w:val="28"/>
          <w:lang w:eastAsia="es-ES"/>
        </w:rPr>
        <w:drawing>
          <wp:inline distT="0" distB="0" distL="0" distR="0" wp14:anchorId="3FA721A3" wp14:editId="09C2536B">
            <wp:extent cx="7429500" cy="5334000"/>
            <wp:effectExtent l="0" t="0" r="0" b="0"/>
            <wp:docPr id="8" name="Imagen 8" descr="Pas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so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0" cy="5334000"/>
                    </a:xfrm>
                    <a:prstGeom prst="rect">
                      <a:avLst/>
                    </a:prstGeom>
                    <a:noFill/>
                    <a:ln>
                      <a:noFill/>
                    </a:ln>
                  </pic:spPr>
                </pic:pic>
              </a:graphicData>
            </a:graphic>
          </wp:inline>
        </w:drawing>
      </w:r>
    </w:p>
    <w:p w14:paraId="7F3EF086" w14:textId="77777777" w:rsidR="00AB6A71" w:rsidRPr="00494028" w:rsidRDefault="00AB6A71" w:rsidP="00494028">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Comic Sans MS" w:eastAsia="Times New Roman" w:hAnsi="Comic Sans MS" w:cs="Times New Roman"/>
          <w:color w:val="FFFFFF"/>
          <w:sz w:val="28"/>
          <w:szCs w:val="28"/>
          <w:lang w:eastAsia="es-ES"/>
        </w:rPr>
      </w:pPr>
      <w:r w:rsidRPr="00494028">
        <w:rPr>
          <w:rFonts w:ascii="Comic Sans MS" w:eastAsia="Times New Roman" w:hAnsi="Comic Sans MS" w:cs="Times New Roman"/>
          <w:color w:val="FFFFFF"/>
          <w:sz w:val="28"/>
          <w:szCs w:val="28"/>
          <w:lang w:eastAsia="es-ES"/>
        </w:rPr>
        <w:t>Recuerde:</w:t>
      </w:r>
    </w:p>
    <w:p w14:paraId="2C9E34EC" w14:textId="77777777" w:rsidR="00AB6A71" w:rsidRPr="00494028" w:rsidRDefault="00AB6A71" w:rsidP="00494028">
      <w:pPr>
        <w:shd w:val="clear" w:color="auto" w:fill="FDF4EB"/>
        <w:spacing w:after="0" w:line="240" w:lineRule="auto"/>
        <w:jc w:val="both"/>
        <w:rPr>
          <w:rFonts w:ascii="Comic Sans MS" w:eastAsia="Times New Roman" w:hAnsi="Comic Sans MS" w:cs="Arial"/>
          <w:i/>
          <w:iCs/>
          <w:color w:val="6C6C6C"/>
          <w:sz w:val="28"/>
          <w:szCs w:val="28"/>
          <w:lang w:eastAsia="es-ES"/>
        </w:rPr>
      </w:pPr>
      <w:r w:rsidRPr="00494028">
        <w:rPr>
          <w:rFonts w:ascii="Comic Sans MS" w:eastAsia="Times New Roman" w:hAnsi="Comic Sans MS" w:cs="Arial"/>
          <w:i/>
          <w:iCs/>
          <w:color w:val="6C6C6C"/>
          <w:sz w:val="28"/>
          <w:szCs w:val="28"/>
          <w:lang w:eastAsia="es-ES"/>
        </w:rPr>
        <w:t>Anexar el certificado bancario justificando que ha solicitado la financiación.</w:t>
      </w:r>
    </w:p>
    <w:p w14:paraId="4C611F78" w14:textId="15C0C270" w:rsidR="00AB6A71" w:rsidRPr="00494028" w:rsidRDefault="00AB6A71" w:rsidP="00494028">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494028">
        <w:rPr>
          <w:rFonts w:ascii="Comic Sans MS" w:eastAsia="Times New Roman" w:hAnsi="Comic Sans MS" w:cs="Arial"/>
          <w:color w:val="6C6C6C"/>
          <w:sz w:val="28"/>
          <w:szCs w:val="28"/>
          <w:lang w:eastAsia="es-ES"/>
        </w:rPr>
        <w:t>Comprobamos como de forma automática aparecen el trámite y procedimiento que deseamos realizar además de nuestra identificación, no debiendo señalar más que si nuestra actuación se produce en nombre propio o es en representación de terceros, el motivo de la presentación y la documentación (desplegando persi</w:t>
      </w:r>
      <w:r w:rsidR="00494028" w:rsidRPr="00494028">
        <w:rPr>
          <w:rFonts w:ascii="Comic Sans MS" w:eastAsia="Times New Roman" w:hAnsi="Comic Sans MS" w:cs="Arial"/>
          <w:color w:val="6C6C6C"/>
          <w:sz w:val="28"/>
          <w:szCs w:val="28"/>
          <w:lang w:eastAsia="es-ES"/>
        </w:rPr>
        <w:t>a</w:t>
      </w:r>
      <w:r w:rsidRPr="00494028">
        <w:rPr>
          <w:rFonts w:ascii="Comic Sans MS" w:eastAsia="Times New Roman" w:hAnsi="Comic Sans MS" w:cs="Arial"/>
          <w:color w:val="6C6C6C"/>
          <w:sz w:val="28"/>
          <w:szCs w:val="28"/>
          <w:lang w:eastAsia="es-ES"/>
        </w:rPr>
        <w:t>na</w:t>
      </w:r>
      <w:r w:rsidR="00494028" w:rsidRPr="00494028">
        <w:rPr>
          <w:rFonts w:ascii="Comic Sans MS" w:eastAsia="Times New Roman" w:hAnsi="Comic Sans MS" w:cs="Arial"/>
          <w:color w:val="6C6C6C"/>
          <w:sz w:val="28"/>
          <w:szCs w:val="28"/>
          <w:lang w:eastAsia="es-ES"/>
        </w:rPr>
        <w:t>s</w:t>
      </w:r>
      <w:r w:rsidRPr="00494028">
        <w:rPr>
          <w:rFonts w:ascii="Comic Sans MS" w:eastAsia="Times New Roman" w:hAnsi="Comic Sans MS" w:cs="Arial"/>
          <w:color w:val="6C6C6C"/>
          <w:sz w:val="28"/>
          <w:szCs w:val="28"/>
          <w:lang w:eastAsia="es-ES"/>
        </w:rPr>
        <w:t xml:space="preserve"> y eligiendo entre las distintas opciones: acta, acuerdo, alegaciones, factura, sentencia, notificación, etc., según corresponda) que se anexa, con un enlace para añadir ficheros. No olvide que debe aportar un certificado de la entidad financiera acreditativo de haberse efectuado la solicitud de financiación antes de que transcurran 5 días desde el fin del plazo de presentación de la autoliquidación.</w:t>
      </w:r>
    </w:p>
    <w:p w14:paraId="45012159" w14:textId="77777777" w:rsidR="00AB6A71" w:rsidRPr="00494028" w:rsidRDefault="00AB6A71" w:rsidP="00494028">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494028">
        <w:rPr>
          <w:rFonts w:ascii="Comic Sans MS" w:eastAsia="Times New Roman" w:hAnsi="Comic Sans MS" w:cs="Arial"/>
          <w:color w:val="6C6C6C"/>
          <w:sz w:val="28"/>
          <w:szCs w:val="28"/>
          <w:lang w:eastAsia="es-ES"/>
        </w:rPr>
        <w:t>Una vez cumplimentado adecuadamente, se procederá a la presentación (botón "Presentar") de forma que una vez firmado y enviado, se obtendrá un recibo de presentación.</w:t>
      </w:r>
    </w:p>
    <w:p w14:paraId="27F38552" w14:textId="77777777" w:rsidR="00AB6A71" w:rsidRPr="00494028" w:rsidRDefault="00AB6A71" w:rsidP="00494028">
      <w:pPr>
        <w:jc w:val="both"/>
        <w:rPr>
          <w:rFonts w:ascii="Comic Sans MS" w:hAnsi="Comic Sans MS"/>
          <w:sz w:val="28"/>
          <w:szCs w:val="28"/>
        </w:rPr>
      </w:pPr>
    </w:p>
    <w:sectPr w:rsidR="00AB6A71" w:rsidRPr="004940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71"/>
    <w:rsid w:val="00494028"/>
    <w:rsid w:val="00AB6A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0BB4"/>
  <w15:chartTrackingRefBased/>
  <w15:docId w15:val="{29BDBB1D-6834-4526-829B-53F5C0CE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86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supercontable.com/pag/documentos/comentarios/RDl_15_2020_Real_Decreto_ley_medidas_suspension_plazos_aplazamientos_tributarios.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543</Words>
  <Characters>2990</Characters>
  <Application>Microsoft Office Word</Application>
  <DocSecurity>0</DocSecurity>
  <Lines>24</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2020-06-09T09:37:00Z</dcterms:created>
  <dcterms:modified xsi:type="dcterms:W3CDTF">2020-06-09T10:22:00Z</dcterms:modified>
</cp:coreProperties>
</file>