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506" w:rsidRPr="00537B2D" w:rsidRDefault="006E2506" w:rsidP="006E2506">
      <w:pPr>
        <w:spacing w:after="100" w:line="240" w:lineRule="auto"/>
        <w:jc w:val="center"/>
        <w:rPr>
          <w:rFonts w:ascii="Arial" w:eastAsia="Times New Roman" w:hAnsi="Arial" w:cs="Arial"/>
          <w:b/>
          <w:bCs/>
          <w:color w:val="FF0000"/>
          <w:sz w:val="52"/>
          <w:szCs w:val="52"/>
          <w:lang w:eastAsia="es-ES"/>
        </w:rPr>
      </w:pPr>
      <w:r w:rsidRPr="00537B2D">
        <w:rPr>
          <w:rFonts w:ascii="Arial" w:eastAsia="Times New Roman" w:hAnsi="Arial" w:cs="Arial"/>
          <w:b/>
          <w:bCs/>
          <w:color w:val="FF0000"/>
          <w:sz w:val="52"/>
          <w:szCs w:val="52"/>
          <w:lang w:eastAsia="es-ES"/>
        </w:rPr>
        <w:t>LAS CUENTAS DE LA SEGURIDAD SOCIAL A 31-03-2020</w:t>
      </w:r>
    </w:p>
    <w:p w:rsidR="00537B2D" w:rsidRPr="006E2506" w:rsidRDefault="00537B2D" w:rsidP="006E2506">
      <w:pPr>
        <w:spacing w:after="100" w:line="240" w:lineRule="auto"/>
        <w:jc w:val="center"/>
        <w:rPr>
          <w:rFonts w:ascii="Arial" w:eastAsia="Times New Roman" w:hAnsi="Arial" w:cs="Arial"/>
          <w:color w:val="000000"/>
          <w:sz w:val="20"/>
          <w:szCs w:val="20"/>
          <w:lang w:eastAsia="es-ES"/>
        </w:rPr>
      </w:pP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Datos de ejecución reflejados en el Sistema de Información Contable de la Seguridad Social</w:t>
      </w:r>
    </w:p>
    <w:p w:rsidR="006E2506" w:rsidRPr="00537B2D" w:rsidRDefault="006E2506" w:rsidP="00537B2D">
      <w:pPr>
        <w:spacing w:after="6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u w:val="single"/>
          <w:lang w:eastAsia="es-ES"/>
        </w:rPr>
        <w:t>RESUMEN</w:t>
      </w:r>
    </w:p>
    <w:p w:rsidR="006E2506" w:rsidRPr="00537B2D" w:rsidRDefault="006E2506" w:rsidP="00537B2D">
      <w:pPr>
        <w:spacing w:after="6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La Seguridad Social registra un </w:t>
      </w:r>
      <w:r w:rsidRPr="00537B2D">
        <w:rPr>
          <w:rFonts w:ascii="Comic Sans MS" w:eastAsia="Times New Roman" w:hAnsi="Comic Sans MS" w:cs="Arial"/>
          <w:color w:val="000000"/>
          <w:sz w:val="28"/>
          <w:szCs w:val="28"/>
          <w:u w:val="single"/>
          <w:lang w:eastAsia="es-ES"/>
        </w:rPr>
        <w:t>saldo positivo</w:t>
      </w:r>
      <w:r w:rsidRPr="00537B2D">
        <w:rPr>
          <w:rFonts w:ascii="Comic Sans MS" w:eastAsia="Times New Roman" w:hAnsi="Comic Sans MS" w:cs="Arial"/>
          <w:color w:val="000000"/>
          <w:sz w:val="28"/>
          <w:szCs w:val="28"/>
          <w:lang w:eastAsia="es-ES"/>
        </w:rPr>
        <w:t> de </w:t>
      </w:r>
      <w:r w:rsidRPr="00537B2D">
        <w:rPr>
          <w:rFonts w:ascii="Comic Sans MS" w:eastAsia="Times New Roman" w:hAnsi="Comic Sans MS" w:cs="Arial"/>
          <w:b/>
          <w:bCs/>
          <w:color w:val="000000"/>
          <w:sz w:val="28"/>
          <w:szCs w:val="28"/>
          <w:lang w:eastAsia="es-ES"/>
        </w:rPr>
        <w:t>289,66</w:t>
      </w:r>
      <w:r w:rsidRPr="00537B2D">
        <w:rPr>
          <w:rFonts w:ascii="Comic Sans MS" w:eastAsia="Times New Roman" w:hAnsi="Comic Sans MS" w:cs="Arial"/>
          <w:color w:val="000000"/>
          <w:sz w:val="28"/>
          <w:szCs w:val="28"/>
          <w:lang w:eastAsia="es-ES"/>
        </w:rPr>
        <w:t> millones de euros</w:t>
      </w:r>
    </w:p>
    <w:p w:rsidR="006E2506" w:rsidRPr="00537B2D" w:rsidRDefault="006E2506" w:rsidP="00537B2D">
      <w:pPr>
        <w:spacing w:after="6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Las </w:t>
      </w:r>
      <w:r w:rsidRPr="00537B2D">
        <w:rPr>
          <w:rFonts w:ascii="Comic Sans MS" w:eastAsia="Times New Roman" w:hAnsi="Comic Sans MS" w:cs="Arial"/>
          <w:color w:val="000000"/>
          <w:sz w:val="28"/>
          <w:szCs w:val="28"/>
          <w:u w:val="single"/>
          <w:lang w:eastAsia="es-ES"/>
        </w:rPr>
        <w:t>cotizaciones sociales</w:t>
      </w:r>
      <w:r w:rsidRPr="00537B2D">
        <w:rPr>
          <w:rFonts w:ascii="Comic Sans MS" w:eastAsia="Times New Roman" w:hAnsi="Comic Sans MS" w:cs="Arial"/>
          <w:color w:val="000000"/>
          <w:sz w:val="28"/>
          <w:szCs w:val="28"/>
          <w:lang w:eastAsia="es-ES"/>
        </w:rPr>
        <w:t> alcanzan un importe de </w:t>
      </w:r>
      <w:r w:rsidRPr="00537B2D">
        <w:rPr>
          <w:rFonts w:ascii="Comic Sans MS" w:eastAsia="Times New Roman" w:hAnsi="Comic Sans MS" w:cs="Arial"/>
          <w:b/>
          <w:bCs/>
          <w:color w:val="000000"/>
          <w:sz w:val="28"/>
          <w:szCs w:val="28"/>
          <w:lang w:eastAsia="es-ES"/>
        </w:rPr>
        <w:t>31.894,68</w:t>
      </w:r>
      <w:r w:rsidRPr="00537B2D">
        <w:rPr>
          <w:rFonts w:ascii="Comic Sans MS" w:eastAsia="Times New Roman" w:hAnsi="Comic Sans MS" w:cs="Arial"/>
          <w:color w:val="000000"/>
          <w:sz w:val="28"/>
          <w:szCs w:val="28"/>
          <w:lang w:eastAsia="es-ES"/>
        </w:rPr>
        <w:t> millones de euros, un </w:t>
      </w:r>
      <w:r w:rsidRPr="00537B2D">
        <w:rPr>
          <w:rFonts w:ascii="Comic Sans MS" w:eastAsia="Times New Roman" w:hAnsi="Comic Sans MS" w:cs="Arial"/>
          <w:b/>
          <w:bCs/>
          <w:color w:val="000000"/>
          <w:sz w:val="28"/>
          <w:szCs w:val="28"/>
          <w:lang w:eastAsia="es-ES"/>
        </w:rPr>
        <w:t>4,35%</w:t>
      </w:r>
      <w:r w:rsidRPr="00537B2D">
        <w:rPr>
          <w:rFonts w:ascii="Comic Sans MS" w:eastAsia="Times New Roman" w:hAnsi="Comic Sans MS" w:cs="Arial"/>
          <w:color w:val="000000"/>
          <w:sz w:val="28"/>
          <w:szCs w:val="28"/>
          <w:lang w:eastAsia="es-ES"/>
        </w:rPr>
        <w:t> más que el año pasado</w:t>
      </w:r>
    </w:p>
    <w:p w:rsidR="006E2506" w:rsidRPr="00537B2D" w:rsidRDefault="006E2506" w:rsidP="00537B2D">
      <w:pPr>
        <w:spacing w:after="6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Las </w:t>
      </w:r>
      <w:r w:rsidRPr="00537B2D">
        <w:rPr>
          <w:rFonts w:ascii="Comic Sans MS" w:eastAsia="Times New Roman" w:hAnsi="Comic Sans MS" w:cs="Arial"/>
          <w:color w:val="000000"/>
          <w:sz w:val="28"/>
          <w:szCs w:val="28"/>
          <w:u w:val="single"/>
          <w:lang w:eastAsia="es-ES"/>
        </w:rPr>
        <w:t>prestaciones económicas a familias e instituciones</w:t>
      </w:r>
      <w:r w:rsidRPr="00537B2D">
        <w:rPr>
          <w:rFonts w:ascii="Comic Sans MS" w:eastAsia="Times New Roman" w:hAnsi="Comic Sans MS" w:cs="Arial"/>
          <w:color w:val="000000"/>
          <w:sz w:val="28"/>
          <w:szCs w:val="28"/>
          <w:lang w:eastAsia="es-ES"/>
        </w:rPr>
        <w:t> totalizaron </w:t>
      </w:r>
      <w:r w:rsidRPr="00537B2D">
        <w:rPr>
          <w:rFonts w:ascii="Comic Sans MS" w:eastAsia="Times New Roman" w:hAnsi="Comic Sans MS" w:cs="Arial"/>
          <w:b/>
          <w:bCs/>
          <w:color w:val="000000"/>
          <w:sz w:val="28"/>
          <w:szCs w:val="28"/>
          <w:lang w:eastAsia="es-ES"/>
        </w:rPr>
        <w:t>34.521,92</w:t>
      </w:r>
      <w:r w:rsidRPr="00537B2D">
        <w:rPr>
          <w:rFonts w:ascii="Comic Sans MS" w:eastAsia="Times New Roman" w:hAnsi="Comic Sans MS" w:cs="Arial"/>
          <w:color w:val="000000"/>
          <w:sz w:val="28"/>
          <w:szCs w:val="28"/>
          <w:lang w:eastAsia="es-ES"/>
        </w:rPr>
        <w:t> millones de euros, con un aumento de un </w:t>
      </w:r>
      <w:r w:rsidRPr="00537B2D">
        <w:rPr>
          <w:rFonts w:ascii="Comic Sans MS" w:eastAsia="Times New Roman" w:hAnsi="Comic Sans MS" w:cs="Arial"/>
          <w:b/>
          <w:bCs/>
          <w:color w:val="000000"/>
          <w:sz w:val="28"/>
          <w:szCs w:val="28"/>
          <w:lang w:eastAsia="es-ES"/>
        </w:rPr>
        <w:t>6,05%</w:t>
      </w:r>
      <w:r w:rsidRPr="00537B2D">
        <w:rPr>
          <w:rFonts w:ascii="Comic Sans MS" w:eastAsia="Times New Roman" w:hAnsi="Comic Sans MS" w:cs="Arial"/>
          <w:color w:val="000000"/>
          <w:sz w:val="28"/>
          <w:szCs w:val="28"/>
          <w:lang w:eastAsia="es-ES"/>
        </w:rPr>
        <w:t> respecto al mismo mes del ejercicio anterior</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El </w:t>
      </w:r>
      <w:r w:rsidRPr="00537B2D">
        <w:rPr>
          <w:rFonts w:ascii="Comic Sans MS" w:eastAsia="Times New Roman" w:hAnsi="Comic Sans MS" w:cs="Arial"/>
          <w:color w:val="000000"/>
          <w:sz w:val="28"/>
          <w:szCs w:val="28"/>
          <w:u w:val="single"/>
          <w:lang w:eastAsia="es-ES"/>
        </w:rPr>
        <w:t>gasto en incapacidad temporal</w:t>
      </w:r>
      <w:r w:rsidRPr="00537B2D">
        <w:rPr>
          <w:rFonts w:ascii="Comic Sans MS" w:eastAsia="Times New Roman" w:hAnsi="Comic Sans MS" w:cs="Arial"/>
          <w:color w:val="000000"/>
          <w:sz w:val="28"/>
          <w:szCs w:val="28"/>
          <w:lang w:eastAsia="es-ES"/>
        </w:rPr>
        <w:t> se incrementa más de un </w:t>
      </w:r>
      <w:r w:rsidRPr="00537B2D">
        <w:rPr>
          <w:rFonts w:ascii="Comic Sans MS" w:eastAsia="Times New Roman" w:hAnsi="Comic Sans MS" w:cs="Arial"/>
          <w:b/>
          <w:bCs/>
          <w:color w:val="000000"/>
          <w:sz w:val="28"/>
          <w:szCs w:val="28"/>
          <w:lang w:eastAsia="es-ES"/>
        </w:rPr>
        <w:t>17%</w:t>
      </w:r>
      <w:r w:rsidRPr="00537B2D">
        <w:rPr>
          <w:rFonts w:ascii="Comic Sans MS" w:eastAsia="Times New Roman" w:hAnsi="Comic Sans MS" w:cs="Arial"/>
          <w:color w:val="000000"/>
          <w:sz w:val="28"/>
          <w:szCs w:val="28"/>
          <w:lang w:eastAsia="es-ES"/>
        </w:rPr>
        <w:t> debido a la protección excepcional de los trabajadores infectados por coronavirus o que tuvieron que mantenerse en aislamiento preventivo</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u w:val="single"/>
          <w:lang w:eastAsia="es-ES"/>
        </w:rPr>
        <w:t>SALDO GLOBAL</w:t>
      </w:r>
    </w:p>
    <w:tbl>
      <w:tblPr>
        <w:tblW w:w="0" w:type="auto"/>
        <w:tblCellMar>
          <w:left w:w="0" w:type="dxa"/>
          <w:right w:w="0" w:type="dxa"/>
        </w:tblCellMar>
        <w:tblLook w:val="04A0" w:firstRow="1" w:lastRow="0" w:firstColumn="1" w:lastColumn="0" w:noHBand="0" w:noVBand="1"/>
      </w:tblPr>
      <w:tblGrid>
        <w:gridCol w:w="1670"/>
        <w:gridCol w:w="2187"/>
        <w:gridCol w:w="2176"/>
      </w:tblGrid>
      <w:tr w:rsidR="006E2506" w:rsidRPr="00537B2D" w:rsidTr="006E2506">
        <w:trPr>
          <w:trHeight w:val="22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c>
        <w:tc>
          <w:tcPr>
            <w:tcW w:w="0" w:type="auto"/>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PRESUPUESTO</w:t>
            </w:r>
          </w:p>
        </w:tc>
        <w:tc>
          <w:tcPr>
            <w:tcW w:w="0" w:type="auto"/>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A 31-03-2020</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INGRESOS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135.143,43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36.839,68</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GASTOS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152.554,94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36.550,02</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BALANCE</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-17.411,51</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289,66</w:t>
            </w:r>
          </w:p>
        </w:tc>
      </w:tr>
    </w:tbl>
    <w:p w:rsidR="006E2506" w:rsidRPr="00537B2D" w:rsidRDefault="006E2506" w:rsidP="00537B2D">
      <w:pPr>
        <w:spacing w:before="100"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Las cuentas de la Seguridad Social presentan un saldo positivo de </w:t>
      </w:r>
      <w:r w:rsidRPr="00537B2D">
        <w:rPr>
          <w:rFonts w:ascii="Comic Sans MS" w:eastAsia="Times New Roman" w:hAnsi="Comic Sans MS" w:cs="Arial"/>
          <w:b/>
          <w:bCs/>
          <w:color w:val="000000"/>
          <w:sz w:val="28"/>
          <w:szCs w:val="28"/>
          <w:lang w:eastAsia="es-ES"/>
        </w:rPr>
        <w:t>289,66 </w:t>
      </w:r>
      <w:r w:rsidRPr="00537B2D">
        <w:rPr>
          <w:rFonts w:ascii="Comic Sans MS" w:eastAsia="Times New Roman" w:hAnsi="Comic Sans MS" w:cs="Arial"/>
          <w:color w:val="000000"/>
          <w:sz w:val="28"/>
          <w:szCs w:val="28"/>
          <w:lang w:eastAsia="es-ES"/>
        </w:rPr>
        <w:t>millones de euros a 31-3-2020, resultado de la diferencia entre unos derechos reconocidos por operaciones no financieras de </w:t>
      </w:r>
      <w:r w:rsidRPr="00537B2D">
        <w:rPr>
          <w:rFonts w:ascii="Comic Sans MS" w:eastAsia="Times New Roman" w:hAnsi="Comic Sans MS" w:cs="Arial"/>
          <w:b/>
          <w:bCs/>
          <w:color w:val="000000"/>
          <w:sz w:val="28"/>
          <w:szCs w:val="28"/>
          <w:lang w:eastAsia="es-ES"/>
        </w:rPr>
        <w:t>36.839,68</w:t>
      </w:r>
      <w:r w:rsidRPr="00537B2D">
        <w:rPr>
          <w:rFonts w:ascii="Comic Sans MS" w:eastAsia="Times New Roman" w:hAnsi="Comic Sans MS" w:cs="Arial"/>
          <w:color w:val="000000"/>
          <w:sz w:val="28"/>
          <w:szCs w:val="28"/>
          <w:lang w:eastAsia="es-ES"/>
        </w:rPr>
        <w:t> millones de euros, que presentan un decremento del </w:t>
      </w:r>
      <w:r w:rsidRPr="00537B2D">
        <w:rPr>
          <w:rFonts w:ascii="Comic Sans MS" w:eastAsia="Times New Roman" w:hAnsi="Comic Sans MS" w:cs="Arial"/>
          <w:b/>
          <w:bCs/>
          <w:color w:val="000000"/>
          <w:sz w:val="28"/>
          <w:szCs w:val="28"/>
          <w:lang w:eastAsia="es-ES"/>
        </w:rPr>
        <w:t>3,38%</w:t>
      </w:r>
      <w:r w:rsidRPr="00537B2D">
        <w:rPr>
          <w:rFonts w:ascii="Comic Sans MS" w:eastAsia="Times New Roman" w:hAnsi="Comic Sans MS" w:cs="Arial"/>
          <w:color w:val="000000"/>
          <w:sz w:val="28"/>
          <w:szCs w:val="28"/>
          <w:lang w:eastAsia="es-ES"/>
        </w:rPr>
        <w:t> y unas </w:t>
      </w:r>
      <w:r w:rsidRPr="00537B2D">
        <w:rPr>
          <w:rFonts w:ascii="Comic Sans MS" w:eastAsia="Times New Roman" w:hAnsi="Comic Sans MS" w:cs="Arial"/>
          <w:color w:val="000000"/>
          <w:sz w:val="28"/>
          <w:szCs w:val="28"/>
          <w:u w:val="single"/>
          <w:lang w:eastAsia="es-ES"/>
        </w:rPr>
        <w:t>obligaciones reconocidas</w:t>
      </w:r>
      <w:r w:rsidRPr="00537B2D">
        <w:rPr>
          <w:rFonts w:ascii="Comic Sans MS" w:eastAsia="Times New Roman" w:hAnsi="Comic Sans MS" w:cs="Arial"/>
          <w:color w:val="000000"/>
          <w:sz w:val="28"/>
          <w:szCs w:val="28"/>
          <w:lang w:eastAsia="es-ES"/>
        </w:rPr>
        <w:t> de </w:t>
      </w:r>
      <w:r w:rsidRPr="00537B2D">
        <w:rPr>
          <w:rFonts w:ascii="Comic Sans MS" w:eastAsia="Times New Roman" w:hAnsi="Comic Sans MS" w:cs="Arial"/>
          <w:b/>
          <w:bCs/>
          <w:color w:val="000000"/>
          <w:sz w:val="28"/>
          <w:szCs w:val="28"/>
          <w:lang w:eastAsia="es-ES"/>
        </w:rPr>
        <w:t>36.550,02</w:t>
      </w:r>
      <w:r w:rsidRPr="00537B2D">
        <w:rPr>
          <w:rFonts w:ascii="Comic Sans MS" w:eastAsia="Times New Roman" w:hAnsi="Comic Sans MS" w:cs="Arial"/>
          <w:color w:val="000000"/>
          <w:sz w:val="28"/>
          <w:szCs w:val="28"/>
          <w:lang w:eastAsia="es-ES"/>
        </w:rPr>
        <w:t> millones de euros, que crecen en un 6,12%, respecto del mismo periodo del ejercicio anterior.</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Hay que señalar que el retroceso del </w:t>
      </w:r>
      <w:r w:rsidRPr="00537B2D">
        <w:rPr>
          <w:rFonts w:ascii="Comic Sans MS" w:eastAsia="Times New Roman" w:hAnsi="Comic Sans MS" w:cs="Arial"/>
          <w:b/>
          <w:bCs/>
          <w:color w:val="000000"/>
          <w:sz w:val="28"/>
          <w:szCs w:val="28"/>
          <w:lang w:eastAsia="es-ES"/>
        </w:rPr>
        <w:t>3,38%</w:t>
      </w:r>
      <w:r w:rsidRPr="00537B2D">
        <w:rPr>
          <w:rFonts w:ascii="Comic Sans MS" w:eastAsia="Times New Roman" w:hAnsi="Comic Sans MS" w:cs="Arial"/>
          <w:color w:val="000000"/>
          <w:sz w:val="28"/>
          <w:szCs w:val="28"/>
          <w:lang w:eastAsia="es-ES"/>
        </w:rPr>
        <w:t> interanual en el capítulo de derechos reconocidos se debe fundamentalmente al desfase en el calendario de transferencias que por distintos conceptos efectúa el Estado a la Seguridad Social. En marzo de 2019 el sistema ya había recibido dichas transferencias:</w:t>
      </w:r>
    </w:p>
    <w:p w:rsidR="006E2506" w:rsidRPr="00537B2D" w:rsidRDefault="006E2506" w:rsidP="00537B2D">
      <w:pPr>
        <w:spacing w:after="40" w:line="240" w:lineRule="auto"/>
        <w:ind w:left="284"/>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r w:rsidRPr="00537B2D">
        <w:rPr>
          <w:rFonts w:ascii="Comic Sans MS" w:eastAsia="Times New Roman" w:hAnsi="Comic Sans MS" w:cs="Arial"/>
          <w:b/>
          <w:bCs/>
          <w:color w:val="000000"/>
          <w:sz w:val="28"/>
          <w:szCs w:val="28"/>
          <w:lang w:eastAsia="es-ES"/>
        </w:rPr>
        <w:t>2.044,79</w:t>
      </w:r>
      <w:r w:rsidRPr="00537B2D">
        <w:rPr>
          <w:rFonts w:ascii="Comic Sans MS" w:eastAsia="Times New Roman" w:hAnsi="Comic Sans MS" w:cs="Arial"/>
          <w:color w:val="000000"/>
          <w:sz w:val="28"/>
          <w:szCs w:val="28"/>
          <w:lang w:eastAsia="es-ES"/>
        </w:rPr>
        <w:t> millones de euros para el pago de las pensiones no contributivas y complementos a mínimos</w:t>
      </w:r>
    </w:p>
    <w:p w:rsidR="006E2506" w:rsidRPr="00537B2D" w:rsidRDefault="006E2506" w:rsidP="00537B2D">
      <w:pPr>
        <w:spacing w:after="100" w:line="240" w:lineRule="auto"/>
        <w:ind w:left="284"/>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r w:rsidRPr="00537B2D">
        <w:rPr>
          <w:rFonts w:ascii="Comic Sans MS" w:eastAsia="Times New Roman" w:hAnsi="Comic Sans MS" w:cs="Arial"/>
          <w:b/>
          <w:bCs/>
          <w:color w:val="000000"/>
          <w:sz w:val="28"/>
          <w:szCs w:val="28"/>
          <w:lang w:eastAsia="es-ES"/>
        </w:rPr>
        <w:t>666</w:t>
      </w:r>
      <w:r w:rsidRPr="00537B2D">
        <w:rPr>
          <w:rFonts w:ascii="Comic Sans MS" w:eastAsia="Times New Roman" w:hAnsi="Comic Sans MS" w:cs="Arial"/>
          <w:color w:val="000000"/>
          <w:sz w:val="28"/>
          <w:szCs w:val="28"/>
          <w:lang w:eastAsia="es-ES"/>
        </w:rPr>
        <w:t> millones de euros, a la aportación del Estado -prevista en los presupuestos- en concepto de apoyo al equilibrio presupuestario de la Seguridad Social.</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Si se corrige este desfase, en lugar de una disminución en los derechos reconocidos por operaciones no financieras del </w:t>
      </w:r>
      <w:r w:rsidRPr="00537B2D">
        <w:rPr>
          <w:rFonts w:ascii="Comic Sans MS" w:eastAsia="Times New Roman" w:hAnsi="Comic Sans MS" w:cs="Arial"/>
          <w:b/>
          <w:bCs/>
          <w:color w:val="000000"/>
          <w:sz w:val="28"/>
          <w:szCs w:val="28"/>
          <w:lang w:eastAsia="es-ES"/>
        </w:rPr>
        <w:t>3,38%</w:t>
      </w:r>
      <w:r w:rsidRPr="00537B2D">
        <w:rPr>
          <w:rFonts w:ascii="Comic Sans MS" w:eastAsia="Times New Roman" w:hAnsi="Comic Sans MS" w:cs="Arial"/>
          <w:color w:val="000000"/>
          <w:sz w:val="28"/>
          <w:szCs w:val="28"/>
          <w:lang w:eastAsia="es-ES"/>
        </w:rPr>
        <w:t>, se hubiera producido un incremento del </w:t>
      </w:r>
      <w:r w:rsidRPr="00537B2D">
        <w:rPr>
          <w:rFonts w:ascii="Comic Sans MS" w:eastAsia="Times New Roman" w:hAnsi="Comic Sans MS" w:cs="Arial"/>
          <w:b/>
          <w:bCs/>
          <w:color w:val="000000"/>
          <w:sz w:val="28"/>
          <w:szCs w:val="28"/>
          <w:lang w:eastAsia="es-ES"/>
        </w:rPr>
        <w:t>4,01%</w:t>
      </w:r>
      <w:r w:rsidRPr="00537B2D">
        <w:rPr>
          <w:rFonts w:ascii="Comic Sans MS" w:eastAsia="Times New Roman" w:hAnsi="Comic Sans MS" w:cs="Arial"/>
          <w:color w:val="000000"/>
          <w:sz w:val="28"/>
          <w:szCs w:val="28"/>
          <w:lang w:eastAsia="es-ES"/>
        </w:rPr>
        <w:t>.</w:t>
      </w:r>
    </w:p>
    <w:p w:rsidR="006E2506" w:rsidRPr="00537B2D" w:rsidRDefault="006E2506" w:rsidP="00537B2D">
      <w:pPr>
        <w:spacing w:after="4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Del volumen total de derechos reconocidos:</w:t>
      </w:r>
    </w:p>
    <w:p w:rsidR="006E2506" w:rsidRPr="00537B2D" w:rsidRDefault="006E2506" w:rsidP="00537B2D">
      <w:pPr>
        <w:spacing w:after="40" w:line="240" w:lineRule="auto"/>
        <w:ind w:left="284"/>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el </w:t>
      </w:r>
      <w:r w:rsidRPr="00537B2D">
        <w:rPr>
          <w:rFonts w:ascii="Comic Sans MS" w:eastAsia="Times New Roman" w:hAnsi="Comic Sans MS" w:cs="Arial"/>
          <w:b/>
          <w:bCs/>
          <w:color w:val="000000"/>
          <w:sz w:val="28"/>
          <w:szCs w:val="28"/>
          <w:lang w:eastAsia="es-ES"/>
        </w:rPr>
        <w:t>90,69%</w:t>
      </w:r>
      <w:r w:rsidRPr="00537B2D">
        <w:rPr>
          <w:rFonts w:ascii="Comic Sans MS" w:eastAsia="Times New Roman" w:hAnsi="Comic Sans MS" w:cs="Arial"/>
          <w:color w:val="000000"/>
          <w:sz w:val="28"/>
          <w:szCs w:val="28"/>
          <w:lang w:eastAsia="es-ES"/>
        </w:rPr>
        <w:t> corresponde a las </w:t>
      </w:r>
      <w:r w:rsidRPr="00537B2D">
        <w:rPr>
          <w:rFonts w:ascii="Comic Sans MS" w:eastAsia="Times New Roman" w:hAnsi="Comic Sans MS" w:cs="Arial"/>
          <w:color w:val="000000"/>
          <w:sz w:val="28"/>
          <w:szCs w:val="28"/>
          <w:u w:val="single"/>
          <w:lang w:eastAsia="es-ES"/>
        </w:rPr>
        <w:t>entidades gestoras y servicios comunes</w:t>
      </w:r>
      <w:r w:rsidRPr="00537B2D">
        <w:rPr>
          <w:rFonts w:ascii="Comic Sans MS" w:eastAsia="Times New Roman" w:hAnsi="Comic Sans MS" w:cs="Arial"/>
          <w:color w:val="000000"/>
          <w:sz w:val="28"/>
          <w:szCs w:val="28"/>
          <w:lang w:eastAsia="es-ES"/>
        </w:rPr>
        <w:t> de la Seguridad Social</w:t>
      </w:r>
    </w:p>
    <w:p w:rsidR="006E2506" w:rsidRPr="00537B2D" w:rsidRDefault="006E2506" w:rsidP="00537B2D">
      <w:pPr>
        <w:spacing w:after="100" w:line="240" w:lineRule="auto"/>
        <w:ind w:left="284"/>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el   </w:t>
      </w:r>
      <w:r w:rsidRPr="00537B2D">
        <w:rPr>
          <w:rFonts w:ascii="Comic Sans MS" w:eastAsia="Times New Roman" w:hAnsi="Comic Sans MS" w:cs="Arial"/>
          <w:b/>
          <w:bCs/>
          <w:color w:val="000000"/>
          <w:sz w:val="28"/>
          <w:szCs w:val="28"/>
          <w:lang w:eastAsia="es-ES"/>
        </w:rPr>
        <w:t>9,31%</w:t>
      </w:r>
      <w:r w:rsidRPr="00537B2D">
        <w:rPr>
          <w:rFonts w:ascii="Comic Sans MS" w:eastAsia="Times New Roman" w:hAnsi="Comic Sans MS" w:cs="Arial"/>
          <w:color w:val="000000"/>
          <w:sz w:val="28"/>
          <w:szCs w:val="28"/>
          <w:lang w:eastAsia="es-ES"/>
        </w:rPr>
        <w:t> restante a las </w:t>
      </w:r>
      <w:r w:rsidRPr="00537B2D">
        <w:rPr>
          <w:rFonts w:ascii="Comic Sans MS" w:eastAsia="Times New Roman" w:hAnsi="Comic Sans MS" w:cs="Arial"/>
          <w:color w:val="000000"/>
          <w:sz w:val="28"/>
          <w:szCs w:val="28"/>
          <w:u w:val="single"/>
          <w:lang w:eastAsia="es-ES"/>
        </w:rPr>
        <w:t>mutuas colaboradoras</w:t>
      </w:r>
      <w:r w:rsidRPr="00537B2D">
        <w:rPr>
          <w:rFonts w:ascii="Comic Sans MS" w:eastAsia="Times New Roman" w:hAnsi="Comic Sans MS" w:cs="Arial"/>
          <w:color w:val="000000"/>
          <w:sz w:val="28"/>
          <w:szCs w:val="28"/>
          <w:lang w:eastAsia="es-ES"/>
        </w:rPr>
        <w:t> con la Seguridad Social</w:t>
      </w:r>
    </w:p>
    <w:p w:rsidR="006E2506" w:rsidRPr="00537B2D" w:rsidRDefault="006E2506" w:rsidP="00537B2D">
      <w:pPr>
        <w:spacing w:after="4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En cuanto a las obligaciones:</w:t>
      </w:r>
    </w:p>
    <w:p w:rsidR="006E2506" w:rsidRPr="00537B2D" w:rsidRDefault="006E2506" w:rsidP="00537B2D">
      <w:pPr>
        <w:spacing w:after="40" w:line="240" w:lineRule="auto"/>
        <w:ind w:left="284"/>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el </w:t>
      </w:r>
      <w:r w:rsidRPr="00537B2D">
        <w:rPr>
          <w:rFonts w:ascii="Comic Sans MS" w:eastAsia="Times New Roman" w:hAnsi="Comic Sans MS" w:cs="Arial"/>
          <w:b/>
          <w:bCs/>
          <w:color w:val="000000"/>
          <w:sz w:val="28"/>
          <w:szCs w:val="28"/>
          <w:lang w:eastAsia="es-ES"/>
        </w:rPr>
        <w:t>91,64%</w:t>
      </w:r>
      <w:r w:rsidRPr="00537B2D">
        <w:rPr>
          <w:rFonts w:ascii="Comic Sans MS" w:eastAsia="Times New Roman" w:hAnsi="Comic Sans MS" w:cs="Arial"/>
          <w:color w:val="000000"/>
          <w:sz w:val="28"/>
          <w:szCs w:val="28"/>
          <w:lang w:eastAsia="es-ES"/>
        </w:rPr>
        <w:t> ha sido reconocido por las </w:t>
      </w:r>
      <w:r w:rsidRPr="00537B2D">
        <w:rPr>
          <w:rFonts w:ascii="Comic Sans MS" w:eastAsia="Times New Roman" w:hAnsi="Comic Sans MS" w:cs="Arial"/>
          <w:color w:val="000000"/>
          <w:sz w:val="28"/>
          <w:szCs w:val="28"/>
          <w:u w:val="single"/>
          <w:lang w:eastAsia="es-ES"/>
        </w:rPr>
        <w:t>entidades gestoras</w:t>
      </w:r>
    </w:p>
    <w:p w:rsidR="006E2506" w:rsidRPr="00537B2D" w:rsidRDefault="006E2506" w:rsidP="00537B2D">
      <w:pPr>
        <w:spacing w:after="100" w:line="240" w:lineRule="auto"/>
        <w:ind w:left="284"/>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el   </w:t>
      </w:r>
      <w:r w:rsidRPr="00537B2D">
        <w:rPr>
          <w:rFonts w:ascii="Comic Sans MS" w:eastAsia="Times New Roman" w:hAnsi="Comic Sans MS" w:cs="Arial"/>
          <w:b/>
          <w:bCs/>
          <w:color w:val="000000"/>
          <w:sz w:val="28"/>
          <w:szCs w:val="28"/>
          <w:lang w:eastAsia="es-ES"/>
        </w:rPr>
        <w:t>8,36%</w:t>
      </w:r>
      <w:r w:rsidRPr="00537B2D">
        <w:rPr>
          <w:rFonts w:ascii="Comic Sans MS" w:eastAsia="Times New Roman" w:hAnsi="Comic Sans MS" w:cs="Arial"/>
          <w:color w:val="000000"/>
          <w:sz w:val="28"/>
          <w:szCs w:val="28"/>
          <w:lang w:eastAsia="es-ES"/>
        </w:rPr>
        <w:t> por las </w:t>
      </w:r>
      <w:r w:rsidRPr="00537B2D">
        <w:rPr>
          <w:rFonts w:ascii="Comic Sans MS" w:eastAsia="Times New Roman" w:hAnsi="Comic Sans MS" w:cs="Arial"/>
          <w:color w:val="000000"/>
          <w:sz w:val="28"/>
          <w:szCs w:val="28"/>
          <w:u w:val="single"/>
          <w:lang w:eastAsia="es-ES"/>
        </w:rPr>
        <w:t>mutuas colaboradoras</w:t>
      </w:r>
      <w:r w:rsidRPr="00537B2D">
        <w:rPr>
          <w:rFonts w:ascii="Comic Sans MS" w:eastAsia="Times New Roman" w:hAnsi="Comic Sans MS" w:cs="Arial"/>
          <w:color w:val="000000"/>
          <w:sz w:val="28"/>
          <w:szCs w:val="28"/>
          <w:lang w:eastAsia="es-ES"/>
        </w:rPr>
        <w:t>.</w:t>
      </w:r>
    </w:p>
    <w:p w:rsidR="006E2506" w:rsidRPr="00537B2D" w:rsidRDefault="006E2506" w:rsidP="00537B2D">
      <w:pPr>
        <w:spacing w:after="12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u w:val="single"/>
          <w:lang w:eastAsia="es-ES"/>
        </w:rPr>
        <w:t>INGRESOS NO FINANCIEROS</w:t>
      </w:r>
    </w:p>
    <w:tbl>
      <w:tblPr>
        <w:tblW w:w="0" w:type="auto"/>
        <w:tblCellMar>
          <w:left w:w="0" w:type="dxa"/>
          <w:right w:w="0" w:type="dxa"/>
        </w:tblCellMar>
        <w:tblLook w:val="04A0" w:firstRow="1" w:lastRow="0" w:firstColumn="1" w:lastColumn="0" w:noHBand="0" w:noVBand="1"/>
      </w:tblPr>
      <w:tblGrid>
        <w:gridCol w:w="2109"/>
        <w:gridCol w:w="2048"/>
        <w:gridCol w:w="2175"/>
        <w:gridCol w:w="2152"/>
      </w:tblGrid>
      <w:tr w:rsidR="006E2506" w:rsidRPr="00537B2D" w:rsidTr="006E2506">
        <w:trPr>
          <w:trHeight w:val="20"/>
        </w:trPr>
        <w:tc>
          <w:tcPr>
            <w:tcW w:w="4390" w:type="dxa"/>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OPERACIONES NO FINANCIERAS</w:t>
            </w:r>
          </w:p>
        </w:tc>
        <w:tc>
          <w:tcPr>
            <w:tcW w:w="1624"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PREVISIONES DE INGRESOS</w:t>
            </w:r>
          </w:p>
        </w:tc>
        <w:tc>
          <w:tcPr>
            <w:tcW w:w="1652"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DERECHOS RECONOCIDOS NETOS (*)</w:t>
            </w:r>
          </w:p>
        </w:tc>
        <w:tc>
          <w:tcPr>
            <w:tcW w:w="1401"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RECAUDACIÓN NETA (*)</w:t>
            </w:r>
          </w:p>
        </w:tc>
      </w:tr>
      <w:tr w:rsidR="006E2506" w:rsidRPr="00537B2D" w:rsidTr="006E2506">
        <w:trPr>
          <w:trHeight w:val="20"/>
        </w:trPr>
        <w:tc>
          <w:tcPr>
            <w:tcW w:w="9067"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OPERACIONES CORRIENTES</w:t>
            </w:r>
          </w:p>
        </w:tc>
      </w:tr>
      <w:tr w:rsidR="006E2506" w:rsidRPr="00537B2D" w:rsidTr="006E2506">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Cotizaciones Sociales</w:t>
            </w:r>
          </w:p>
        </w:tc>
        <w:tc>
          <w:tcPr>
            <w:tcW w:w="1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114.915,75</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31.894,68</w:t>
            </w:r>
          </w:p>
        </w:tc>
        <w:tc>
          <w:tcPr>
            <w:tcW w:w="14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31.229,73</w:t>
            </w:r>
          </w:p>
        </w:tc>
      </w:tr>
      <w:tr w:rsidR="006E2506" w:rsidRPr="00537B2D" w:rsidTr="006E2506">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Transferencias corrientes</w:t>
            </w:r>
          </w:p>
        </w:tc>
        <w:tc>
          <w:tcPr>
            <w:tcW w:w="1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18.332,05</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4.602,59</w:t>
            </w:r>
          </w:p>
        </w:tc>
        <w:tc>
          <w:tcPr>
            <w:tcW w:w="14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4.572,08</w:t>
            </w:r>
          </w:p>
        </w:tc>
      </w:tr>
      <w:tr w:rsidR="006E2506" w:rsidRPr="00537B2D" w:rsidTr="006E2506">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Ingresos Patrimoniales</w:t>
            </w:r>
          </w:p>
        </w:tc>
        <w:tc>
          <w:tcPr>
            <w:tcW w:w="1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228,30</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11,22</w:t>
            </w:r>
          </w:p>
        </w:tc>
        <w:tc>
          <w:tcPr>
            <w:tcW w:w="14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8,74</w:t>
            </w:r>
          </w:p>
        </w:tc>
      </w:tr>
      <w:tr w:rsidR="006E2506" w:rsidRPr="00537B2D" w:rsidTr="006E2506">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Tasas y otros ingresos</w:t>
            </w:r>
          </w:p>
        </w:tc>
        <w:tc>
          <w:tcPr>
            <w:tcW w:w="1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992,95</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327,03</w:t>
            </w:r>
          </w:p>
        </w:tc>
        <w:tc>
          <w:tcPr>
            <w:tcW w:w="14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65,54</w:t>
            </w:r>
          </w:p>
        </w:tc>
      </w:tr>
      <w:tr w:rsidR="006E2506" w:rsidRPr="00537B2D" w:rsidTr="006E2506">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SUMA DE OPERACIONES CORRIENTES</w:t>
            </w:r>
          </w:p>
        </w:tc>
        <w:tc>
          <w:tcPr>
            <w:tcW w:w="1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134.469,05</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36.835,52</w:t>
            </w:r>
          </w:p>
        </w:tc>
        <w:tc>
          <w:tcPr>
            <w:tcW w:w="14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35.876,09</w:t>
            </w:r>
          </w:p>
        </w:tc>
      </w:tr>
      <w:tr w:rsidR="006E2506" w:rsidRPr="00537B2D" w:rsidTr="006E2506">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c>
        <w:tc>
          <w:tcPr>
            <w:tcW w:w="4677"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c>
      </w:tr>
      <w:tr w:rsidR="006E2506" w:rsidRPr="00537B2D" w:rsidTr="006E2506">
        <w:trPr>
          <w:trHeight w:val="20"/>
        </w:trPr>
        <w:tc>
          <w:tcPr>
            <w:tcW w:w="9067"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OPERACIONES DE CAPITAL</w:t>
            </w:r>
          </w:p>
        </w:tc>
      </w:tr>
      <w:tr w:rsidR="006E2506" w:rsidRPr="00537B2D" w:rsidTr="006E2506">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Transferencias de capital</w:t>
            </w:r>
          </w:p>
        </w:tc>
        <w:tc>
          <w:tcPr>
            <w:tcW w:w="1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673,25</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4,07</w:t>
            </w:r>
          </w:p>
        </w:tc>
        <w:tc>
          <w:tcPr>
            <w:tcW w:w="14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4,07</w:t>
            </w:r>
          </w:p>
        </w:tc>
      </w:tr>
      <w:tr w:rsidR="006E2506" w:rsidRPr="00537B2D" w:rsidTr="006E2506">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Enajenación inversiones reales</w:t>
            </w:r>
          </w:p>
        </w:tc>
        <w:tc>
          <w:tcPr>
            <w:tcW w:w="1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1,13</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0,09</w:t>
            </w:r>
          </w:p>
        </w:tc>
        <w:tc>
          <w:tcPr>
            <w:tcW w:w="14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0,09</w:t>
            </w:r>
          </w:p>
        </w:tc>
      </w:tr>
      <w:tr w:rsidR="006E2506" w:rsidRPr="00537B2D" w:rsidTr="006E2506">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SUMA DE OPERACIONES DE CAPITAL</w:t>
            </w:r>
          </w:p>
        </w:tc>
        <w:tc>
          <w:tcPr>
            <w:tcW w:w="1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674,39</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4,16</w:t>
            </w:r>
          </w:p>
        </w:tc>
        <w:tc>
          <w:tcPr>
            <w:tcW w:w="14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4,15</w:t>
            </w:r>
          </w:p>
        </w:tc>
      </w:tr>
      <w:tr w:rsidR="006E2506" w:rsidRPr="00537B2D" w:rsidTr="006E2506">
        <w:trPr>
          <w:trHeight w:val="20"/>
        </w:trPr>
        <w:tc>
          <w:tcPr>
            <w:tcW w:w="9067"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c>
      </w:tr>
      <w:tr w:rsidR="006E2506" w:rsidRPr="00537B2D" w:rsidTr="006E2506">
        <w:trPr>
          <w:trHeight w:val="20"/>
        </w:trPr>
        <w:tc>
          <w:tcPr>
            <w:tcW w:w="4390"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SUMA DE OPERACIONES NO FINANCIERAS</w:t>
            </w:r>
          </w:p>
        </w:tc>
        <w:tc>
          <w:tcPr>
            <w:tcW w:w="1624"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135.143,43</w:t>
            </w:r>
          </w:p>
        </w:tc>
        <w:tc>
          <w:tcPr>
            <w:tcW w:w="1652"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36.839,68</w:t>
            </w:r>
          </w:p>
        </w:tc>
        <w:tc>
          <w:tcPr>
            <w:tcW w:w="1401"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35.880,24</w:t>
            </w:r>
          </w:p>
        </w:tc>
      </w:tr>
    </w:tbl>
    <w:p w:rsidR="006E2506" w:rsidRPr="00537B2D" w:rsidRDefault="006E2506" w:rsidP="00537B2D">
      <w:pPr>
        <w:spacing w:before="20"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Incluidos los derechos pendientes de aplicación definitiva</w:t>
      </w:r>
    </w:p>
    <w:p w:rsidR="006E2506" w:rsidRPr="00537B2D" w:rsidRDefault="006E2506" w:rsidP="00537B2D">
      <w:pPr>
        <w:spacing w:after="12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u w:val="single"/>
          <w:lang w:eastAsia="es-ES"/>
        </w:rPr>
        <w:t>COTIZACIONES SOCIALES</w:t>
      </w:r>
    </w:p>
    <w:tbl>
      <w:tblPr>
        <w:tblW w:w="0" w:type="auto"/>
        <w:tblInd w:w="-5" w:type="dxa"/>
        <w:tblCellMar>
          <w:left w:w="0" w:type="dxa"/>
          <w:right w:w="0" w:type="dxa"/>
        </w:tblCellMar>
        <w:tblLook w:val="04A0" w:firstRow="1" w:lastRow="0" w:firstColumn="1" w:lastColumn="0" w:noHBand="0" w:noVBand="1"/>
      </w:tblPr>
      <w:tblGrid>
        <w:gridCol w:w="4014"/>
        <w:gridCol w:w="2187"/>
        <w:gridCol w:w="2288"/>
      </w:tblGrid>
      <w:tr w:rsidR="006E2506" w:rsidRPr="00537B2D" w:rsidTr="006E2506">
        <w:trPr>
          <w:trHeight w:val="20"/>
        </w:trPr>
        <w:tc>
          <w:tcPr>
            <w:tcW w:w="4901" w:type="dxa"/>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COTIZACIONES SOCIALES</w:t>
            </w:r>
          </w:p>
        </w:tc>
        <w:tc>
          <w:tcPr>
            <w:tcW w:w="1652"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PRESUPUESTO</w:t>
            </w:r>
          </w:p>
        </w:tc>
        <w:tc>
          <w:tcPr>
            <w:tcW w:w="1669"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DERECHOS RECONOCIDOS NETOS</w:t>
            </w:r>
          </w:p>
        </w:tc>
      </w:tr>
      <w:tr w:rsidR="006E2506" w:rsidRPr="00537B2D" w:rsidTr="006E2506">
        <w:trPr>
          <w:trHeight w:val="20"/>
        </w:trPr>
        <w:tc>
          <w:tcPr>
            <w:tcW w:w="49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Régimen General</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88.759,58</w:t>
            </w:r>
          </w:p>
        </w:tc>
        <w:tc>
          <w:tcPr>
            <w:tcW w:w="16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24.420,06</w:t>
            </w:r>
          </w:p>
        </w:tc>
      </w:tr>
      <w:tr w:rsidR="006E2506" w:rsidRPr="00537B2D" w:rsidTr="006E2506">
        <w:trPr>
          <w:trHeight w:val="20"/>
        </w:trPr>
        <w:tc>
          <w:tcPr>
            <w:tcW w:w="49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Régimen Especial de Trabajadores Autónomos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11.441,23</w:t>
            </w:r>
          </w:p>
        </w:tc>
        <w:tc>
          <w:tcPr>
            <w:tcW w:w="16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2.910,17</w:t>
            </w:r>
          </w:p>
        </w:tc>
      </w:tr>
      <w:tr w:rsidR="006E2506" w:rsidRPr="00537B2D" w:rsidTr="006E2506">
        <w:trPr>
          <w:trHeight w:val="20"/>
        </w:trPr>
        <w:tc>
          <w:tcPr>
            <w:tcW w:w="49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Accidentes de Trabajo, Enfermedades Profesionales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7.495,60</w:t>
            </w:r>
          </w:p>
        </w:tc>
        <w:tc>
          <w:tcPr>
            <w:tcW w:w="16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2.280,86</w:t>
            </w:r>
          </w:p>
        </w:tc>
      </w:tr>
      <w:tr w:rsidR="006E2506" w:rsidRPr="00537B2D" w:rsidTr="006E2506">
        <w:trPr>
          <w:trHeight w:val="20"/>
        </w:trPr>
        <w:tc>
          <w:tcPr>
            <w:tcW w:w="49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Desempleados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6.607,28</w:t>
            </w:r>
          </w:p>
        </w:tc>
        <w:tc>
          <w:tcPr>
            <w:tcW w:w="16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2.087,27</w:t>
            </w:r>
          </w:p>
        </w:tc>
      </w:tr>
      <w:tr w:rsidR="006E2506" w:rsidRPr="00537B2D" w:rsidTr="006E2506">
        <w:trPr>
          <w:trHeight w:val="20"/>
        </w:trPr>
        <w:tc>
          <w:tcPr>
            <w:tcW w:w="49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Régimen Especial Trabajadores del Mar</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370,61</w:t>
            </w:r>
          </w:p>
        </w:tc>
        <w:tc>
          <w:tcPr>
            <w:tcW w:w="16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95,17</w:t>
            </w:r>
          </w:p>
        </w:tc>
      </w:tr>
      <w:tr w:rsidR="006E2506" w:rsidRPr="00537B2D" w:rsidTr="006E2506">
        <w:trPr>
          <w:trHeight w:val="20"/>
        </w:trPr>
        <w:tc>
          <w:tcPr>
            <w:tcW w:w="49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Cese Actividad Trabajadores Autónomos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133,25</w:t>
            </w:r>
          </w:p>
        </w:tc>
        <w:tc>
          <w:tcPr>
            <w:tcW w:w="16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73,20</w:t>
            </w:r>
          </w:p>
        </w:tc>
      </w:tr>
      <w:tr w:rsidR="006E2506" w:rsidRPr="00537B2D" w:rsidTr="006E2506">
        <w:trPr>
          <w:trHeight w:val="20"/>
        </w:trPr>
        <w:tc>
          <w:tcPr>
            <w:tcW w:w="49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Régimen Especial Minería del Carbón</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108,20</w:t>
            </w:r>
          </w:p>
        </w:tc>
        <w:tc>
          <w:tcPr>
            <w:tcW w:w="16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27,07</w:t>
            </w:r>
          </w:p>
        </w:tc>
      </w:tr>
      <w:tr w:rsidR="006E2506" w:rsidRPr="00537B2D" w:rsidTr="006E2506">
        <w:trPr>
          <w:trHeight w:val="20"/>
        </w:trPr>
        <w:tc>
          <w:tcPr>
            <w:tcW w:w="49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Régimen Especial Agrario</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w:t>
            </w:r>
          </w:p>
        </w:tc>
        <w:tc>
          <w:tcPr>
            <w:tcW w:w="16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0,79</w:t>
            </w:r>
          </w:p>
        </w:tc>
      </w:tr>
      <w:tr w:rsidR="006E2506" w:rsidRPr="00537B2D" w:rsidTr="006E2506">
        <w:trPr>
          <w:trHeight w:val="20"/>
        </w:trPr>
        <w:tc>
          <w:tcPr>
            <w:tcW w:w="49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Régimen Especial Empleados de Hogar</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w:t>
            </w:r>
          </w:p>
        </w:tc>
        <w:tc>
          <w:tcPr>
            <w:tcW w:w="16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0,1</w:t>
            </w:r>
          </w:p>
        </w:tc>
      </w:tr>
      <w:tr w:rsidR="006E2506" w:rsidRPr="00537B2D" w:rsidTr="006E2506">
        <w:trPr>
          <w:trHeight w:val="20"/>
        </w:trPr>
        <w:tc>
          <w:tcPr>
            <w:tcW w:w="4901"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537B2D"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TOTAL,</w:t>
            </w:r>
            <w:r w:rsidR="006E2506" w:rsidRPr="00537B2D">
              <w:rPr>
                <w:rFonts w:ascii="Comic Sans MS" w:eastAsia="Times New Roman" w:hAnsi="Comic Sans MS" w:cs="Arial"/>
                <w:b/>
                <w:bCs/>
                <w:color w:val="000000"/>
                <w:sz w:val="28"/>
                <w:szCs w:val="28"/>
                <w:lang w:eastAsia="es-ES"/>
              </w:rPr>
              <w:t xml:space="preserve"> COTIZACIONES SOCIALES</w:t>
            </w:r>
          </w:p>
        </w:tc>
        <w:tc>
          <w:tcPr>
            <w:tcW w:w="1652"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114.915,75</w:t>
            </w:r>
          </w:p>
        </w:tc>
        <w:tc>
          <w:tcPr>
            <w:tcW w:w="1669"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31.894,68</w:t>
            </w:r>
          </w:p>
        </w:tc>
      </w:tr>
    </w:tbl>
    <w:p w:rsidR="006E2506" w:rsidRPr="00537B2D" w:rsidRDefault="006E2506" w:rsidP="00537B2D">
      <w:pPr>
        <w:spacing w:before="100"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Las cotizaciones sociales han ascendido a </w:t>
      </w:r>
      <w:r w:rsidRPr="00537B2D">
        <w:rPr>
          <w:rFonts w:ascii="Comic Sans MS" w:eastAsia="Times New Roman" w:hAnsi="Comic Sans MS" w:cs="Arial"/>
          <w:b/>
          <w:bCs/>
          <w:color w:val="000000"/>
          <w:sz w:val="28"/>
          <w:szCs w:val="28"/>
          <w:lang w:eastAsia="es-ES"/>
        </w:rPr>
        <w:t>31.894,68</w:t>
      </w:r>
      <w:r w:rsidRPr="00537B2D">
        <w:rPr>
          <w:rFonts w:ascii="Comic Sans MS" w:eastAsia="Times New Roman" w:hAnsi="Comic Sans MS" w:cs="Arial"/>
          <w:color w:val="000000"/>
          <w:sz w:val="28"/>
          <w:szCs w:val="28"/>
          <w:lang w:eastAsia="es-ES"/>
        </w:rPr>
        <w:t> millones de euros lo que representa, respecto al mismo período del año anterior, un aumento de </w:t>
      </w:r>
      <w:r w:rsidRPr="00537B2D">
        <w:rPr>
          <w:rFonts w:ascii="Comic Sans MS" w:eastAsia="Times New Roman" w:hAnsi="Comic Sans MS" w:cs="Arial"/>
          <w:b/>
          <w:bCs/>
          <w:color w:val="000000"/>
          <w:sz w:val="28"/>
          <w:szCs w:val="28"/>
          <w:lang w:eastAsia="es-ES"/>
        </w:rPr>
        <w:t>1.328,36</w:t>
      </w:r>
      <w:r w:rsidRPr="00537B2D">
        <w:rPr>
          <w:rFonts w:ascii="Comic Sans MS" w:eastAsia="Times New Roman" w:hAnsi="Comic Sans MS" w:cs="Arial"/>
          <w:color w:val="000000"/>
          <w:sz w:val="28"/>
          <w:szCs w:val="28"/>
          <w:lang w:eastAsia="es-ES"/>
        </w:rPr>
        <w:t> (4,35%), que viene originado por el aumento de la cotización de ocupados en un </w:t>
      </w:r>
      <w:r w:rsidRPr="00537B2D">
        <w:rPr>
          <w:rFonts w:ascii="Comic Sans MS" w:eastAsia="Times New Roman" w:hAnsi="Comic Sans MS" w:cs="Arial"/>
          <w:b/>
          <w:bCs/>
          <w:color w:val="000000"/>
          <w:sz w:val="28"/>
          <w:szCs w:val="28"/>
          <w:lang w:eastAsia="es-ES"/>
        </w:rPr>
        <w:t>3,35%</w:t>
      </w:r>
      <w:r w:rsidRPr="00537B2D">
        <w:rPr>
          <w:rFonts w:ascii="Comic Sans MS" w:eastAsia="Times New Roman" w:hAnsi="Comic Sans MS" w:cs="Arial"/>
          <w:color w:val="000000"/>
          <w:sz w:val="28"/>
          <w:szCs w:val="28"/>
          <w:lang w:eastAsia="es-ES"/>
        </w:rPr>
        <w:t>, mientras que la cotización de desempleados registra un aumento del </w:t>
      </w:r>
      <w:r w:rsidRPr="00537B2D">
        <w:rPr>
          <w:rFonts w:ascii="Comic Sans MS" w:eastAsia="Times New Roman" w:hAnsi="Comic Sans MS" w:cs="Arial"/>
          <w:b/>
          <w:bCs/>
          <w:color w:val="000000"/>
          <w:sz w:val="28"/>
          <w:szCs w:val="28"/>
          <w:lang w:eastAsia="es-ES"/>
        </w:rPr>
        <w:t>21,02%</w:t>
      </w:r>
      <w:r w:rsidRPr="00537B2D">
        <w:rPr>
          <w:rFonts w:ascii="Comic Sans MS" w:eastAsia="Times New Roman" w:hAnsi="Comic Sans MS" w:cs="Arial"/>
          <w:color w:val="000000"/>
          <w:sz w:val="28"/>
          <w:szCs w:val="28"/>
          <w:lang w:eastAsia="es-ES"/>
        </w:rPr>
        <w:t>.</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u w:val="single"/>
          <w:lang w:eastAsia="es-ES"/>
        </w:rPr>
        <w:t>TRANSFERENCIAS CORRIENTES</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Las transferencias corrientes totalizaron </w:t>
      </w:r>
      <w:r w:rsidRPr="00537B2D">
        <w:rPr>
          <w:rFonts w:ascii="Comic Sans MS" w:eastAsia="Times New Roman" w:hAnsi="Comic Sans MS" w:cs="Arial"/>
          <w:b/>
          <w:bCs/>
          <w:color w:val="000000"/>
          <w:sz w:val="28"/>
          <w:szCs w:val="28"/>
          <w:lang w:eastAsia="es-ES"/>
        </w:rPr>
        <w:t>4.602,59</w:t>
      </w:r>
      <w:r w:rsidRPr="00537B2D">
        <w:rPr>
          <w:rFonts w:ascii="Comic Sans MS" w:eastAsia="Times New Roman" w:hAnsi="Comic Sans MS" w:cs="Arial"/>
          <w:color w:val="000000"/>
          <w:sz w:val="28"/>
          <w:szCs w:val="28"/>
          <w:lang w:eastAsia="es-ES"/>
        </w:rPr>
        <w:t> millones de euros, con un decremento del </w:t>
      </w:r>
      <w:r w:rsidRPr="00537B2D">
        <w:rPr>
          <w:rFonts w:ascii="Comic Sans MS" w:eastAsia="Times New Roman" w:hAnsi="Comic Sans MS" w:cs="Arial"/>
          <w:b/>
          <w:bCs/>
          <w:color w:val="000000"/>
          <w:sz w:val="28"/>
          <w:szCs w:val="28"/>
          <w:lang w:eastAsia="es-ES"/>
        </w:rPr>
        <w:t>36,24%</w:t>
      </w:r>
      <w:r w:rsidRPr="00537B2D">
        <w:rPr>
          <w:rFonts w:ascii="Comic Sans MS" w:eastAsia="Times New Roman" w:hAnsi="Comic Sans MS" w:cs="Arial"/>
          <w:color w:val="000000"/>
          <w:sz w:val="28"/>
          <w:szCs w:val="28"/>
          <w:lang w:eastAsia="es-ES"/>
        </w:rPr>
        <w:t> respecto del importe a la misma fecha del ejercicio 2019. En concreto, en las transferencias del Estado y Organismos Autónomos se ha producido una disminución de </w:t>
      </w:r>
      <w:r w:rsidRPr="00537B2D">
        <w:rPr>
          <w:rFonts w:ascii="Comic Sans MS" w:eastAsia="Times New Roman" w:hAnsi="Comic Sans MS" w:cs="Arial"/>
          <w:b/>
          <w:bCs/>
          <w:color w:val="000000"/>
          <w:sz w:val="28"/>
          <w:szCs w:val="28"/>
          <w:lang w:eastAsia="es-ES"/>
        </w:rPr>
        <w:t>2.693,41</w:t>
      </w:r>
      <w:r w:rsidRPr="00537B2D">
        <w:rPr>
          <w:rFonts w:ascii="Comic Sans MS" w:eastAsia="Times New Roman" w:hAnsi="Comic Sans MS" w:cs="Arial"/>
          <w:color w:val="000000"/>
          <w:sz w:val="28"/>
          <w:szCs w:val="28"/>
          <w:lang w:eastAsia="es-ES"/>
        </w:rPr>
        <w:t> millones de euros en la comparación interanual, un 42,18% en términos porcentuales, que como ya se ha indicado anteriormente está motivada principalmente por el desfase en el calendario de transferencias del Estado.</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Por tanto, si las transferencias del Estado en 2019, por tales conceptos, hubieran sido recibidas de forma homogénea a como se han recibido en los tres primeros meses de 2020, en lugar de una disminución en los derechos reconocidos por operaciones no financieras del 3,38%, se hubiera producido un incremento del 4,01%.</w:t>
      </w:r>
    </w:p>
    <w:p w:rsidR="006E2506" w:rsidRPr="00537B2D" w:rsidRDefault="006E2506" w:rsidP="00537B2D">
      <w:pPr>
        <w:spacing w:after="4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u w:val="single"/>
          <w:lang w:eastAsia="es-ES"/>
        </w:rPr>
        <w:t>INGRESOS PATRIMONIALES</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Los ingresos patrimoniales registran </w:t>
      </w:r>
      <w:r w:rsidRPr="00537B2D">
        <w:rPr>
          <w:rFonts w:ascii="Comic Sans MS" w:eastAsia="Times New Roman" w:hAnsi="Comic Sans MS" w:cs="Arial"/>
          <w:b/>
          <w:bCs/>
          <w:color w:val="000000"/>
          <w:sz w:val="28"/>
          <w:szCs w:val="28"/>
          <w:lang w:eastAsia="es-ES"/>
        </w:rPr>
        <w:t>11,22</w:t>
      </w:r>
      <w:r w:rsidRPr="00537B2D">
        <w:rPr>
          <w:rFonts w:ascii="Comic Sans MS" w:eastAsia="Times New Roman" w:hAnsi="Comic Sans MS" w:cs="Arial"/>
          <w:color w:val="000000"/>
          <w:sz w:val="28"/>
          <w:szCs w:val="28"/>
          <w:lang w:eastAsia="es-ES"/>
        </w:rPr>
        <w:t> millones de euros, con un incremento interanual del </w:t>
      </w:r>
      <w:r w:rsidRPr="00537B2D">
        <w:rPr>
          <w:rFonts w:ascii="Comic Sans MS" w:eastAsia="Times New Roman" w:hAnsi="Comic Sans MS" w:cs="Arial"/>
          <w:b/>
          <w:bCs/>
          <w:color w:val="000000"/>
          <w:sz w:val="28"/>
          <w:szCs w:val="28"/>
          <w:lang w:eastAsia="es-ES"/>
        </w:rPr>
        <w:t>4,57%</w:t>
      </w:r>
      <w:r w:rsidRPr="00537B2D">
        <w:rPr>
          <w:rFonts w:ascii="Comic Sans MS" w:eastAsia="Times New Roman" w:hAnsi="Comic Sans MS" w:cs="Arial"/>
          <w:color w:val="000000"/>
          <w:sz w:val="28"/>
          <w:szCs w:val="28"/>
          <w:lang w:eastAsia="es-ES"/>
        </w:rPr>
        <w:t>, y las tasas</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Otros ingresos reflejan la cantidad de </w:t>
      </w:r>
      <w:r w:rsidRPr="00537B2D">
        <w:rPr>
          <w:rFonts w:ascii="Comic Sans MS" w:eastAsia="Times New Roman" w:hAnsi="Comic Sans MS" w:cs="Arial"/>
          <w:b/>
          <w:bCs/>
          <w:color w:val="000000"/>
          <w:sz w:val="28"/>
          <w:szCs w:val="28"/>
          <w:lang w:eastAsia="es-ES"/>
        </w:rPr>
        <w:t>327,03</w:t>
      </w:r>
      <w:r w:rsidRPr="00537B2D">
        <w:rPr>
          <w:rFonts w:ascii="Comic Sans MS" w:eastAsia="Times New Roman" w:hAnsi="Comic Sans MS" w:cs="Arial"/>
          <w:color w:val="000000"/>
          <w:sz w:val="28"/>
          <w:szCs w:val="28"/>
          <w:lang w:eastAsia="es-ES"/>
        </w:rPr>
        <w:t> millones de euros, con una disminución interanual del </w:t>
      </w:r>
      <w:r w:rsidRPr="00537B2D">
        <w:rPr>
          <w:rFonts w:ascii="Comic Sans MS" w:eastAsia="Times New Roman" w:hAnsi="Comic Sans MS" w:cs="Arial"/>
          <w:b/>
          <w:bCs/>
          <w:color w:val="000000"/>
          <w:sz w:val="28"/>
          <w:szCs w:val="28"/>
          <w:lang w:eastAsia="es-ES"/>
        </w:rPr>
        <w:t>1,23%</w:t>
      </w:r>
      <w:r w:rsidRPr="00537B2D">
        <w:rPr>
          <w:rFonts w:ascii="Comic Sans MS" w:eastAsia="Times New Roman" w:hAnsi="Comic Sans MS" w:cs="Arial"/>
          <w:color w:val="000000"/>
          <w:sz w:val="28"/>
          <w:szCs w:val="28"/>
          <w:lang w:eastAsia="es-ES"/>
        </w:rPr>
        <w:t>.</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u w:val="single"/>
          <w:lang w:eastAsia="es-ES"/>
        </w:rPr>
        <w:t>GASTOS NO FINANCIEROS</w:t>
      </w:r>
    </w:p>
    <w:tbl>
      <w:tblPr>
        <w:tblW w:w="0" w:type="auto"/>
        <w:tblCellMar>
          <w:left w:w="0" w:type="dxa"/>
          <w:right w:w="0" w:type="dxa"/>
        </w:tblCellMar>
        <w:tblLook w:val="04A0" w:firstRow="1" w:lastRow="0" w:firstColumn="1" w:lastColumn="0" w:noHBand="0" w:noVBand="1"/>
      </w:tblPr>
      <w:tblGrid>
        <w:gridCol w:w="2133"/>
        <w:gridCol w:w="2104"/>
        <w:gridCol w:w="2298"/>
        <w:gridCol w:w="1949"/>
      </w:tblGrid>
      <w:tr w:rsidR="006E2506" w:rsidRPr="00537B2D" w:rsidTr="006E2506">
        <w:trPr>
          <w:trHeight w:val="20"/>
        </w:trPr>
        <w:tc>
          <w:tcPr>
            <w:tcW w:w="4531" w:type="dxa"/>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OPERACIONES NO FINANCIERAS</w:t>
            </w:r>
          </w:p>
        </w:tc>
        <w:tc>
          <w:tcPr>
            <w:tcW w:w="1701"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PRESUPUESTO TOTAL</w:t>
            </w:r>
          </w:p>
        </w:tc>
        <w:tc>
          <w:tcPr>
            <w:tcW w:w="1701"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OBLIGACIONES RECONOCIDAS</w:t>
            </w:r>
          </w:p>
        </w:tc>
        <w:tc>
          <w:tcPr>
            <w:tcW w:w="1440"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PAGOS REALIZADOS</w:t>
            </w:r>
          </w:p>
        </w:tc>
      </w:tr>
      <w:tr w:rsidR="006E2506" w:rsidRPr="00537B2D" w:rsidTr="006E2506">
        <w:trPr>
          <w:trHeight w:val="20"/>
        </w:trPr>
        <w:tc>
          <w:tcPr>
            <w:tcW w:w="9373"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OPERACIONES CORRIENTES</w:t>
            </w:r>
          </w:p>
        </w:tc>
      </w:tr>
      <w:tr w:rsidR="006E2506" w:rsidRPr="00537B2D" w:rsidTr="006E2506">
        <w:trPr>
          <w:trHeight w:val="20"/>
        </w:trPr>
        <w:tc>
          <w:tcPr>
            <w:tcW w:w="45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Transferencias Corrientes</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147.721,60</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35.695,09</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35.248,34</w:t>
            </w:r>
          </w:p>
        </w:tc>
      </w:tr>
      <w:tr w:rsidR="006E2506" w:rsidRPr="00537B2D" w:rsidTr="006E2506">
        <w:trPr>
          <w:trHeight w:val="20"/>
        </w:trPr>
        <w:tc>
          <w:tcPr>
            <w:tcW w:w="45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Gastos de Personal</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2.384,52</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549,73</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545,92</w:t>
            </w:r>
          </w:p>
        </w:tc>
      </w:tr>
      <w:tr w:rsidR="006E2506" w:rsidRPr="00537B2D" w:rsidTr="006E2506">
        <w:trPr>
          <w:trHeight w:val="20"/>
        </w:trPr>
        <w:tc>
          <w:tcPr>
            <w:tcW w:w="45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Gastos Corrientes Bienes y Servicios</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1.542,08</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292,97</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275,54</w:t>
            </w:r>
          </w:p>
        </w:tc>
      </w:tr>
      <w:tr w:rsidR="006E2506" w:rsidRPr="00537B2D" w:rsidTr="006E2506">
        <w:trPr>
          <w:trHeight w:val="20"/>
        </w:trPr>
        <w:tc>
          <w:tcPr>
            <w:tcW w:w="45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Gastos Financieros</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15,94</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0,39</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0,39</w:t>
            </w:r>
          </w:p>
        </w:tc>
      </w:tr>
      <w:tr w:rsidR="006E2506" w:rsidRPr="00537B2D" w:rsidTr="006E2506">
        <w:trPr>
          <w:trHeight w:val="20"/>
        </w:trPr>
        <w:tc>
          <w:tcPr>
            <w:tcW w:w="45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SUMA DE OPERACIONES CORRIENTES</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151.664,14</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36.538,18</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36.070,19</w:t>
            </w:r>
          </w:p>
        </w:tc>
      </w:tr>
      <w:tr w:rsidR="006E2506" w:rsidRPr="00537B2D" w:rsidTr="006E2506">
        <w:trPr>
          <w:trHeight w:val="20"/>
        </w:trPr>
        <w:tc>
          <w:tcPr>
            <w:tcW w:w="9373"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c>
      </w:tr>
      <w:tr w:rsidR="006E2506" w:rsidRPr="00537B2D" w:rsidTr="006E2506">
        <w:trPr>
          <w:trHeight w:val="20"/>
        </w:trPr>
        <w:tc>
          <w:tcPr>
            <w:tcW w:w="9373"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OPERACIONES DE CAPITAL</w:t>
            </w:r>
          </w:p>
        </w:tc>
      </w:tr>
      <w:tr w:rsidR="006E2506" w:rsidRPr="00537B2D" w:rsidTr="006E2506">
        <w:trPr>
          <w:trHeight w:val="20"/>
        </w:trPr>
        <w:tc>
          <w:tcPr>
            <w:tcW w:w="45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Transferencias de Capital</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658,74</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c>
      </w:tr>
      <w:tr w:rsidR="006E2506" w:rsidRPr="00537B2D" w:rsidTr="006E2506">
        <w:trPr>
          <w:trHeight w:val="20"/>
        </w:trPr>
        <w:tc>
          <w:tcPr>
            <w:tcW w:w="45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Inversiones Reales</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232,06</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11,84</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10,98</w:t>
            </w:r>
          </w:p>
        </w:tc>
      </w:tr>
      <w:tr w:rsidR="006E2506" w:rsidRPr="00537B2D" w:rsidTr="006E2506">
        <w:trPr>
          <w:trHeight w:val="20"/>
        </w:trPr>
        <w:tc>
          <w:tcPr>
            <w:tcW w:w="45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SUMA DE OPERACIONES DE CAPITAL</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890,80</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11,84</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10,98</w:t>
            </w:r>
          </w:p>
        </w:tc>
      </w:tr>
      <w:tr w:rsidR="006E2506" w:rsidRPr="00537B2D" w:rsidTr="006E2506">
        <w:trPr>
          <w:trHeight w:val="20"/>
        </w:trPr>
        <w:tc>
          <w:tcPr>
            <w:tcW w:w="9373"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Calibri"/>
                <w:color w:val="000000"/>
                <w:sz w:val="28"/>
                <w:szCs w:val="28"/>
                <w:lang w:eastAsia="es-ES"/>
              </w:rPr>
              <w:t> </w:t>
            </w:r>
          </w:p>
        </w:tc>
      </w:tr>
      <w:tr w:rsidR="006E2506" w:rsidRPr="00537B2D" w:rsidTr="006E2506">
        <w:trPr>
          <w:trHeight w:val="20"/>
        </w:trPr>
        <w:tc>
          <w:tcPr>
            <w:tcW w:w="4531"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SUMA DE OPERACIONES NO FINANCIERAS</w:t>
            </w:r>
          </w:p>
        </w:tc>
        <w:tc>
          <w:tcPr>
            <w:tcW w:w="1701"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152.554,94</w:t>
            </w:r>
          </w:p>
        </w:tc>
        <w:tc>
          <w:tcPr>
            <w:tcW w:w="1701"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36.550,02</w:t>
            </w:r>
          </w:p>
        </w:tc>
        <w:tc>
          <w:tcPr>
            <w:tcW w:w="144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36.081,17</w:t>
            </w:r>
          </w:p>
        </w:tc>
      </w:tr>
    </w:tbl>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bl>
      <w:tblPr>
        <w:tblW w:w="0" w:type="auto"/>
        <w:tblInd w:w="-5" w:type="dxa"/>
        <w:tblCellMar>
          <w:left w:w="0" w:type="dxa"/>
          <w:right w:w="0" w:type="dxa"/>
        </w:tblCellMar>
        <w:tblLook w:val="04A0" w:firstRow="1" w:lastRow="0" w:firstColumn="1" w:lastColumn="0" w:noHBand="0" w:noVBand="1"/>
      </w:tblPr>
      <w:tblGrid>
        <w:gridCol w:w="3913"/>
        <w:gridCol w:w="2187"/>
        <w:gridCol w:w="2389"/>
      </w:tblGrid>
      <w:tr w:rsidR="006E2506" w:rsidRPr="00537B2D" w:rsidTr="006E2506">
        <w:trPr>
          <w:trHeight w:val="20"/>
        </w:trPr>
        <w:tc>
          <w:tcPr>
            <w:tcW w:w="5103" w:type="dxa"/>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PRESTACIONES ECONÓMICAS A</w:t>
            </w:r>
            <w:r w:rsidRPr="00537B2D">
              <w:rPr>
                <w:rFonts w:ascii="Comic Sans MS" w:eastAsia="Times New Roman" w:hAnsi="Comic Sans MS" w:cs="Arial"/>
                <w:color w:val="000000"/>
                <w:sz w:val="28"/>
                <w:szCs w:val="28"/>
                <w:lang w:eastAsia="es-ES"/>
              </w:rPr>
              <w:t> </w:t>
            </w:r>
            <w:r w:rsidRPr="00537B2D">
              <w:rPr>
                <w:rFonts w:ascii="Comic Sans MS" w:eastAsia="Times New Roman" w:hAnsi="Comic Sans MS" w:cs="Arial"/>
                <w:b/>
                <w:bCs/>
                <w:color w:val="000000"/>
                <w:sz w:val="28"/>
                <w:szCs w:val="28"/>
                <w:lang w:eastAsia="es-ES"/>
              </w:rPr>
              <w:t>FAMILIAS E INSTITUCIONES</w:t>
            </w:r>
          </w:p>
        </w:tc>
        <w:tc>
          <w:tcPr>
            <w:tcW w:w="1652" w:type="dxa"/>
            <w:vMerge w:val="restart"/>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PRESUPUESTO</w:t>
            </w:r>
          </w:p>
        </w:tc>
        <w:tc>
          <w:tcPr>
            <w:tcW w:w="1750" w:type="dxa"/>
            <w:tcBorders>
              <w:top w:val="single" w:sz="8" w:space="0" w:color="auto"/>
              <w:left w:val="nil"/>
              <w:bottom w:val="nil"/>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OBLIGACIONES</w:t>
            </w:r>
          </w:p>
        </w:tc>
      </w:tr>
      <w:tr w:rsidR="006E2506" w:rsidRPr="00537B2D" w:rsidTr="006E2506">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p>
        </w:tc>
        <w:tc>
          <w:tcPr>
            <w:tcW w:w="0" w:type="auto"/>
            <w:vMerge/>
            <w:tcBorders>
              <w:top w:val="single" w:sz="8" w:space="0" w:color="auto"/>
              <w:left w:val="nil"/>
              <w:bottom w:val="single" w:sz="8" w:space="0" w:color="auto"/>
              <w:right w:val="single" w:sz="8" w:space="0" w:color="auto"/>
            </w:tcBorders>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p>
        </w:tc>
        <w:tc>
          <w:tcPr>
            <w:tcW w:w="1750"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RECONOCIDAS</w:t>
            </w:r>
          </w:p>
        </w:tc>
      </w:tr>
      <w:tr w:rsidR="006E2506" w:rsidRPr="00537B2D" w:rsidTr="006E2506">
        <w:trPr>
          <w:trHeight w:val="20"/>
        </w:trPr>
        <w:tc>
          <w:tcPr>
            <w:tcW w:w="51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Pensiones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119.790,62</w:t>
            </w:r>
          </w:p>
        </w:tc>
        <w:tc>
          <w:tcPr>
            <w:tcW w:w="17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28.667,64</w:t>
            </w:r>
          </w:p>
        </w:tc>
      </w:tr>
      <w:tr w:rsidR="006E2506" w:rsidRPr="00537B2D" w:rsidTr="006E2506">
        <w:trPr>
          <w:trHeight w:val="20"/>
        </w:trPr>
        <w:tc>
          <w:tcPr>
            <w:tcW w:w="51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Subsidios y otras prestaciones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11.043,59</w:t>
            </w:r>
          </w:p>
        </w:tc>
        <w:tc>
          <w:tcPr>
            <w:tcW w:w="17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3.131,38</w:t>
            </w:r>
          </w:p>
        </w:tc>
      </w:tr>
      <w:tr w:rsidR="006E2506" w:rsidRPr="00537B2D" w:rsidTr="006E2506">
        <w:trPr>
          <w:trHeight w:val="20"/>
        </w:trPr>
        <w:tc>
          <w:tcPr>
            <w:tcW w:w="51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537B2D"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Total,</w:t>
            </w:r>
            <w:r w:rsidR="006E2506" w:rsidRPr="00537B2D">
              <w:rPr>
                <w:rFonts w:ascii="Comic Sans MS" w:eastAsia="Times New Roman" w:hAnsi="Comic Sans MS" w:cs="Arial"/>
                <w:b/>
                <w:bCs/>
                <w:color w:val="000000"/>
                <w:sz w:val="28"/>
                <w:szCs w:val="28"/>
                <w:lang w:eastAsia="es-ES"/>
              </w:rPr>
              <w:t xml:space="preserve"> pensiones y prestaciones contributivas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130.834,21</w:t>
            </w:r>
          </w:p>
        </w:tc>
        <w:tc>
          <w:tcPr>
            <w:tcW w:w="17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31.799,02</w:t>
            </w:r>
          </w:p>
        </w:tc>
      </w:tr>
      <w:tr w:rsidR="006E2506" w:rsidRPr="00537B2D" w:rsidTr="006E2506">
        <w:trPr>
          <w:trHeight w:val="20"/>
        </w:trPr>
        <w:tc>
          <w:tcPr>
            <w:tcW w:w="51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c>
        <w:tc>
          <w:tcPr>
            <w:tcW w:w="17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c>
      </w:tr>
      <w:tr w:rsidR="006E2506" w:rsidRPr="00537B2D" w:rsidTr="006E2506">
        <w:trPr>
          <w:trHeight w:val="20"/>
        </w:trPr>
        <w:tc>
          <w:tcPr>
            <w:tcW w:w="51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Pens. no contrib. y compl. a mínimos de pens. Contrib.</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9.698,92</w:t>
            </w:r>
          </w:p>
        </w:tc>
        <w:tc>
          <w:tcPr>
            <w:tcW w:w="17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2.069,07</w:t>
            </w:r>
          </w:p>
        </w:tc>
      </w:tr>
      <w:tr w:rsidR="006E2506" w:rsidRPr="00537B2D" w:rsidTr="006E2506">
        <w:trPr>
          <w:trHeight w:val="20"/>
        </w:trPr>
        <w:tc>
          <w:tcPr>
            <w:tcW w:w="51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Subsidios y otras prestaciones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1.697,40</w:t>
            </w:r>
          </w:p>
        </w:tc>
        <w:tc>
          <w:tcPr>
            <w:tcW w:w="17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653,83</w:t>
            </w:r>
          </w:p>
        </w:tc>
      </w:tr>
      <w:tr w:rsidR="006E2506" w:rsidRPr="00537B2D" w:rsidTr="006E2506">
        <w:trPr>
          <w:trHeight w:val="20"/>
        </w:trPr>
        <w:tc>
          <w:tcPr>
            <w:tcW w:w="5103"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537B2D"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TOTAL,</w:t>
            </w:r>
            <w:r w:rsidR="006E2506" w:rsidRPr="00537B2D">
              <w:rPr>
                <w:rFonts w:ascii="Comic Sans MS" w:eastAsia="Times New Roman" w:hAnsi="Comic Sans MS" w:cs="Arial"/>
                <w:b/>
                <w:bCs/>
                <w:color w:val="000000"/>
                <w:sz w:val="28"/>
                <w:szCs w:val="28"/>
                <w:lang w:eastAsia="es-ES"/>
              </w:rPr>
              <w:t xml:space="preserve"> SUBSIDIOS Y PRESTACIONES</w:t>
            </w:r>
          </w:p>
        </w:tc>
        <w:tc>
          <w:tcPr>
            <w:tcW w:w="1652"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142.230,53</w:t>
            </w:r>
          </w:p>
        </w:tc>
        <w:tc>
          <w:tcPr>
            <w:tcW w:w="175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34.521,92</w:t>
            </w:r>
          </w:p>
        </w:tc>
      </w:tr>
    </w:tbl>
    <w:p w:rsidR="006E2506" w:rsidRPr="00537B2D" w:rsidRDefault="006E2506" w:rsidP="00537B2D">
      <w:pPr>
        <w:spacing w:before="100"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Las prestaciones económicas a familias e instituciones totalizaron </w:t>
      </w:r>
      <w:r w:rsidRPr="00537B2D">
        <w:rPr>
          <w:rFonts w:ascii="Comic Sans MS" w:eastAsia="Times New Roman" w:hAnsi="Comic Sans MS" w:cs="Arial"/>
          <w:b/>
          <w:bCs/>
          <w:color w:val="000000"/>
          <w:sz w:val="28"/>
          <w:szCs w:val="28"/>
          <w:lang w:eastAsia="es-ES"/>
        </w:rPr>
        <w:t>34.521,92</w:t>
      </w:r>
      <w:r w:rsidRPr="00537B2D">
        <w:rPr>
          <w:rFonts w:ascii="Comic Sans MS" w:eastAsia="Times New Roman" w:hAnsi="Comic Sans MS" w:cs="Arial"/>
          <w:color w:val="000000"/>
          <w:sz w:val="28"/>
          <w:szCs w:val="28"/>
          <w:lang w:eastAsia="es-ES"/>
        </w:rPr>
        <w:t> millones de euros, con un aumento de un </w:t>
      </w:r>
      <w:r w:rsidRPr="00537B2D">
        <w:rPr>
          <w:rFonts w:ascii="Comic Sans MS" w:eastAsia="Times New Roman" w:hAnsi="Comic Sans MS" w:cs="Arial"/>
          <w:b/>
          <w:bCs/>
          <w:color w:val="000000"/>
          <w:sz w:val="28"/>
          <w:szCs w:val="28"/>
          <w:lang w:eastAsia="es-ES"/>
        </w:rPr>
        <w:t>6,05%</w:t>
      </w:r>
      <w:r w:rsidRPr="00537B2D">
        <w:rPr>
          <w:rFonts w:ascii="Comic Sans MS" w:eastAsia="Times New Roman" w:hAnsi="Comic Sans MS" w:cs="Arial"/>
          <w:color w:val="000000"/>
          <w:sz w:val="28"/>
          <w:szCs w:val="28"/>
          <w:lang w:eastAsia="es-ES"/>
        </w:rPr>
        <w:t> respecto al ejercicio anterior. Esta cifra representa un </w:t>
      </w:r>
      <w:r w:rsidRPr="00537B2D">
        <w:rPr>
          <w:rFonts w:ascii="Comic Sans MS" w:eastAsia="Times New Roman" w:hAnsi="Comic Sans MS" w:cs="Arial"/>
          <w:b/>
          <w:bCs/>
          <w:color w:val="000000"/>
          <w:sz w:val="28"/>
          <w:szCs w:val="28"/>
          <w:lang w:eastAsia="es-ES"/>
        </w:rPr>
        <w:t>94,45%</w:t>
      </w:r>
      <w:r w:rsidRPr="00537B2D">
        <w:rPr>
          <w:rFonts w:ascii="Comic Sans MS" w:eastAsia="Times New Roman" w:hAnsi="Comic Sans MS" w:cs="Arial"/>
          <w:color w:val="000000"/>
          <w:sz w:val="28"/>
          <w:szCs w:val="28"/>
          <w:lang w:eastAsia="es-ES"/>
        </w:rPr>
        <w:t> del gasto total realizado en el sistema de Seguridad Social. La mayor partida, </w:t>
      </w:r>
      <w:r w:rsidRPr="00537B2D">
        <w:rPr>
          <w:rFonts w:ascii="Comic Sans MS" w:eastAsia="Times New Roman" w:hAnsi="Comic Sans MS" w:cs="Arial"/>
          <w:b/>
          <w:bCs/>
          <w:color w:val="000000"/>
          <w:sz w:val="28"/>
          <w:szCs w:val="28"/>
          <w:lang w:eastAsia="es-ES"/>
        </w:rPr>
        <w:t>31.799,02</w:t>
      </w:r>
      <w:r w:rsidRPr="00537B2D">
        <w:rPr>
          <w:rFonts w:ascii="Comic Sans MS" w:eastAsia="Times New Roman" w:hAnsi="Comic Sans MS" w:cs="Arial"/>
          <w:color w:val="000000"/>
          <w:sz w:val="28"/>
          <w:szCs w:val="28"/>
          <w:lang w:eastAsia="es-ES"/>
        </w:rPr>
        <w:t> millones de euros corresponde a pensiones y prestaciones contributivas, con un crecimiento interanual del 6,23%.</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u w:val="single"/>
          <w:lang w:eastAsia="es-ES"/>
        </w:rPr>
        <w:t>PENSIONES</w:t>
      </w:r>
    </w:p>
    <w:tbl>
      <w:tblPr>
        <w:tblW w:w="0" w:type="auto"/>
        <w:tblInd w:w="-5" w:type="dxa"/>
        <w:tblCellMar>
          <w:left w:w="0" w:type="dxa"/>
          <w:right w:w="0" w:type="dxa"/>
        </w:tblCellMar>
        <w:tblLook w:val="04A0" w:firstRow="1" w:lastRow="0" w:firstColumn="1" w:lastColumn="0" w:noHBand="0" w:noVBand="1"/>
      </w:tblPr>
      <w:tblGrid>
        <w:gridCol w:w="3332"/>
        <w:gridCol w:w="2187"/>
        <w:gridCol w:w="2389"/>
      </w:tblGrid>
      <w:tr w:rsidR="006E2506" w:rsidRPr="00537B2D" w:rsidTr="006E2506">
        <w:trPr>
          <w:trHeight w:val="227"/>
        </w:trPr>
        <w:tc>
          <w:tcPr>
            <w:tcW w:w="0" w:type="auto"/>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PENSIONES (*)</w:t>
            </w:r>
          </w:p>
        </w:tc>
        <w:tc>
          <w:tcPr>
            <w:tcW w:w="0" w:type="auto"/>
            <w:vMerge w:val="restart"/>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PRESUPUESTO</w:t>
            </w:r>
          </w:p>
        </w:tc>
        <w:tc>
          <w:tcPr>
            <w:tcW w:w="0" w:type="auto"/>
            <w:tcBorders>
              <w:top w:val="single" w:sz="8" w:space="0" w:color="auto"/>
              <w:left w:val="nil"/>
              <w:bottom w:val="nil"/>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OBLIGACIONES</w:t>
            </w:r>
          </w:p>
        </w:tc>
      </w:tr>
      <w:tr w:rsidR="006E2506" w:rsidRPr="00537B2D" w:rsidTr="006E2506">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p>
        </w:tc>
        <w:tc>
          <w:tcPr>
            <w:tcW w:w="0" w:type="auto"/>
            <w:vMerge/>
            <w:tcBorders>
              <w:top w:val="single" w:sz="8" w:space="0" w:color="auto"/>
              <w:left w:val="nil"/>
              <w:bottom w:val="single" w:sz="8" w:space="0" w:color="auto"/>
              <w:right w:val="single" w:sz="8" w:space="0" w:color="auto"/>
            </w:tcBorders>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p>
        </w:tc>
        <w:tc>
          <w:tcPr>
            <w:tcW w:w="0" w:type="auto"/>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RECONOCIDAS</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Jubilación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86.145,54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20.619,13</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Viudedad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19.401,85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4.738,53</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Invalidez</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12.381,75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2.871,64</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Orfandad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1.570,68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367,11</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A favor de familiares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290,8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71,33</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SUMA DE PENSIONES</w:t>
            </w:r>
          </w:p>
        </w:tc>
        <w:tc>
          <w:tcPr>
            <w:tcW w:w="0" w:type="auto"/>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119.790,62</w:t>
            </w:r>
          </w:p>
        </w:tc>
        <w:tc>
          <w:tcPr>
            <w:tcW w:w="0" w:type="auto"/>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28.667,74</w:t>
            </w:r>
          </w:p>
        </w:tc>
      </w:tr>
    </w:tbl>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A partir del Ejercicio 2014, el epígrafe ‘Pensiones no incorpora las cantidades correspondientes a los complementos a Mínimo de Pensiones Contributivas</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En un análisis detallado del área contributiva, las pensiones (invalidez, jubilación, viudedad, orfandad y en favor de familiares) alcanzan un importe de </w:t>
      </w:r>
      <w:r w:rsidRPr="00537B2D">
        <w:rPr>
          <w:rFonts w:ascii="Comic Sans MS" w:eastAsia="Times New Roman" w:hAnsi="Comic Sans MS" w:cs="Arial"/>
          <w:b/>
          <w:bCs/>
          <w:color w:val="000000"/>
          <w:sz w:val="28"/>
          <w:szCs w:val="28"/>
          <w:lang w:eastAsia="es-ES"/>
        </w:rPr>
        <w:t>28.667,64</w:t>
      </w:r>
      <w:r w:rsidRPr="00537B2D">
        <w:rPr>
          <w:rFonts w:ascii="Comic Sans MS" w:eastAsia="Times New Roman" w:hAnsi="Comic Sans MS" w:cs="Arial"/>
          <w:color w:val="000000"/>
          <w:sz w:val="28"/>
          <w:szCs w:val="28"/>
          <w:lang w:eastAsia="es-ES"/>
        </w:rPr>
        <w:t> millones de euros, cifra superior en un </w:t>
      </w:r>
      <w:r w:rsidRPr="00537B2D">
        <w:rPr>
          <w:rFonts w:ascii="Comic Sans MS" w:eastAsia="Times New Roman" w:hAnsi="Comic Sans MS" w:cs="Arial"/>
          <w:b/>
          <w:bCs/>
          <w:color w:val="000000"/>
          <w:sz w:val="28"/>
          <w:szCs w:val="28"/>
          <w:lang w:eastAsia="es-ES"/>
        </w:rPr>
        <w:t>5,13%</w:t>
      </w:r>
      <w:r w:rsidRPr="00537B2D">
        <w:rPr>
          <w:rFonts w:ascii="Comic Sans MS" w:eastAsia="Times New Roman" w:hAnsi="Comic Sans MS" w:cs="Arial"/>
          <w:color w:val="000000"/>
          <w:sz w:val="28"/>
          <w:szCs w:val="28"/>
          <w:lang w:eastAsia="es-ES"/>
        </w:rPr>
        <w:t> respecto al año anterior. Este incremento tiene su origen en el aumento del número total de pensionistas (0,97%), en la elevación de la pensión media (2,16%), así como por la revalorización de las pensiones contributivas en el ejercicio 2020 (0,9%) aprobado por el Real Decreto-ley 1/2020, de 14-3, por el que se establece la revalorización y mantenimiento de las pensiones y prestaciones públicas del sistema de Seguridad Social.</w:t>
      </w:r>
    </w:p>
    <w:p w:rsidR="006E2506" w:rsidRPr="00537B2D" w:rsidRDefault="006E2506" w:rsidP="00537B2D">
      <w:pPr>
        <w:spacing w:before="100"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u w:val="single"/>
          <w:lang w:eastAsia="es-ES"/>
        </w:rPr>
        <w:t>SUBSIDIOS Y OTRAS PRESTACIONES</w:t>
      </w:r>
    </w:p>
    <w:tbl>
      <w:tblPr>
        <w:tblW w:w="0" w:type="auto"/>
        <w:tblInd w:w="-5" w:type="dxa"/>
        <w:tblCellMar>
          <w:left w:w="0" w:type="dxa"/>
          <w:right w:w="0" w:type="dxa"/>
        </w:tblCellMar>
        <w:tblLook w:val="04A0" w:firstRow="1" w:lastRow="0" w:firstColumn="1" w:lastColumn="0" w:noHBand="0" w:noVBand="1"/>
      </w:tblPr>
      <w:tblGrid>
        <w:gridCol w:w="3913"/>
        <w:gridCol w:w="2187"/>
        <w:gridCol w:w="2389"/>
      </w:tblGrid>
      <w:tr w:rsidR="006E2506" w:rsidRPr="00537B2D" w:rsidTr="006E2506">
        <w:trPr>
          <w:trHeight w:val="227"/>
        </w:trPr>
        <w:tc>
          <w:tcPr>
            <w:tcW w:w="0" w:type="auto"/>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SUBSIDIOS Y OTRAS PRESTACIONES</w:t>
            </w:r>
          </w:p>
        </w:tc>
        <w:tc>
          <w:tcPr>
            <w:tcW w:w="0" w:type="auto"/>
            <w:vMerge w:val="restart"/>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PRESUPUESTO</w:t>
            </w:r>
          </w:p>
        </w:tc>
        <w:tc>
          <w:tcPr>
            <w:tcW w:w="0" w:type="auto"/>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OBLIGACIONES</w:t>
            </w:r>
          </w:p>
        </w:tc>
      </w:tr>
      <w:tr w:rsidR="006E2506" w:rsidRPr="00537B2D" w:rsidTr="006E2506">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p>
        </w:tc>
        <w:tc>
          <w:tcPr>
            <w:tcW w:w="0" w:type="auto"/>
            <w:vMerge/>
            <w:tcBorders>
              <w:top w:val="single" w:sz="8" w:space="0" w:color="auto"/>
              <w:left w:val="nil"/>
              <w:bottom w:val="single" w:sz="8" w:space="0" w:color="auto"/>
              <w:right w:val="single" w:sz="8" w:space="0" w:color="auto"/>
            </w:tcBorders>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p>
        </w:tc>
        <w:tc>
          <w:tcPr>
            <w:tcW w:w="0" w:type="auto"/>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RECONOCIDAS</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Incapacidad Temporal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7.979,72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2.313,12</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Prestaciones Maternidad, Paternidad, Riesgo Embarazo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2.558,36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694,78</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Prestaciones y Encargas Únicas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171,58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32,06</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Prestaciones Sociales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117,78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3,35</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Recargos Falta Medidas Seguridad e Higiene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83,14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21,54</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Farmacia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35,11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7,84</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Ayudas Genéricas a Familias e Instituciones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1,75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0,05</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Otras Prestaciones e Indemnizaciones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96,15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58,35</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SUMA DE SUBSIDIOS Y OTRAS PRESTACIONES</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11.043,59</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3.131,09</w:t>
            </w:r>
          </w:p>
        </w:tc>
      </w:tr>
    </w:tbl>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bl>
      <w:tblPr>
        <w:tblW w:w="0" w:type="auto"/>
        <w:tblInd w:w="-5" w:type="dxa"/>
        <w:tblCellMar>
          <w:left w:w="0" w:type="dxa"/>
          <w:right w:w="0" w:type="dxa"/>
        </w:tblCellMar>
        <w:tblLook w:val="04A0" w:firstRow="1" w:lastRow="0" w:firstColumn="1" w:lastColumn="0" w:noHBand="0" w:noVBand="1"/>
      </w:tblPr>
      <w:tblGrid>
        <w:gridCol w:w="3913"/>
        <w:gridCol w:w="2187"/>
        <w:gridCol w:w="2389"/>
      </w:tblGrid>
      <w:tr w:rsidR="006E2506" w:rsidRPr="00537B2D" w:rsidTr="006E2506">
        <w:trPr>
          <w:trHeight w:val="227"/>
        </w:trPr>
        <w:tc>
          <w:tcPr>
            <w:tcW w:w="0" w:type="auto"/>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INCAPACIDAD TEMPORAL</w:t>
            </w:r>
          </w:p>
        </w:tc>
        <w:tc>
          <w:tcPr>
            <w:tcW w:w="0" w:type="auto"/>
            <w:vMerge w:val="restart"/>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PRESUPUESTO</w:t>
            </w:r>
          </w:p>
        </w:tc>
        <w:tc>
          <w:tcPr>
            <w:tcW w:w="0" w:type="auto"/>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OBLIGACIONES</w:t>
            </w:r>
          </w:p>
        </w:tc>
      </w:tr>
      <w:tr w:rsidR="006E2506" w:rsidRPr="00537B2D" w:rsidTr="006E2506">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p>
        </w:tc>
        <w:tc>
          <w:tcPr>
            <w:tcW w:w="0" w:type="auto"/>
            <w:vMerge/>
            <w:tcBorders>
              <w:top w:val="single" w:sz="8" w:space="0" w:color="auto"/>
              <w:left w:val="nil"/>
              <w:bottom w:val="single" w:sz="8" w:space="0" w:color="auto"/>
              <w:right w:val="single" w:sz="8" w:space="0" w:color="auto"/>
            </w:tcBorders>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p>
        </w:tc>
        <w:tc>
          <w:tcPr>
            <w:tcW w:w="0" w:type="auto"/>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RECONOCIDAS</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Subsidio Temporal por Contingencias Comunes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6.904,64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2.055,37</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Subsidio Temporal por Contingencias Profesionales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998,02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257,71</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Compensación por Colaboración de Empresas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77,06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0,04</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537B2D"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TOTAL,</w:t>
            </w:r>
            <w:r w:rsidR="006E2506" w:rsidRPr="00537B2D">
              <w:rPr>
                <w:rFonts w:ascii="Comic Sans MS" w:eastAsia="Times New Roman" w:hAnsi="Comic Sans MS" w:cs="Arial"/>
                <w:b/>
                <w:bCs/>
                <w:color w:val="000000"/>
                <w:sz w:val="28"/>
                <w:szCs w:val="28"/>
                <w:lang w:eastAsia="es-ES"/>
              </w:rPr>
              <w:t xml:space="preserve"> INCAPACIDAD TEMPORAL</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7.979,72</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2.313,12</w:t>
            </w:r>
          </w:p>
        </w:tc>
      </w:tr>
    </w:tbl>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En cuanto a las prestaciones en concepto de nacimiento y cuidado de menor, corresponsabilidad en el cuidado del lactante, riesgo durante el embarazo y durante la lactancia natural y cuidado de menores por cáncer u otra enfermedad se elevaron hasta los </w:t>
      </w:r>
      <w:r w:rsidRPr="00537B2D">
        <w:rPr>
          <w:rFonts w:ascii="Comic Sans MS" w:eastAsia="Times New Roman" w:hAnsi="Comic Sans MS" w:cs="Arial"/>
          <w:b/>
          <w:bCs/>
          <w:color w:val="000000"/>
          <w:sz w:val="28"/>
          <w:szCs w:val="28"/>
          <w:lang w:eastAsia="es-ES"/>
        </w:rPr>
        <w:t>694,78</w:t>
      </w:r>
      <w:r w:rsidRPr="00537B2D">
        <w:rPr>
          <w:rFonts w:ascii="Comic Sans MS" w:eastAsia="Times New Roman" w:hAnsi="Comic Sans MS" w:cs="Arial"/>
          <w:color w:val="000000"/>
          <w:sz w:val="28"/>
          <w:szCs w:val="28"/>
          <w:lang w:eastAsia="es-ES"/>
        </w:rPr>
        <w:t> millones de euros, lo que representa un incremento interanual del </w:t>
      </w:r>
      <w:r w:rsidRPr="00537B2D">
        <w:rPr>
          <w:rFonts w:ascii="Comic Sans MS" w:eastAsia="Times New Roman" w:hAnsi="Comic Sans MS" w:cs="Arial"/>
          <w:b/>
          <w:bCs/>
          <w:color w:val="000000"/>
          <w:sz w:val="28"/>
          <w:szCs w:val="28"/>
          <w:lang w:eastAsia="es-ES"/>
        </w:rPr>
        <w:t>16,25%</w:t>
      </w:r>
      <w:r w:rsidRPr="00537B2D">
        <w:rPr>
          <w:rFonts w:ascii="Comic Sans MS" w:eastAsia="Times New Roman" w:hAnsi="Comic Sans MS" w:cs="Arial"/>
          <w:color w:val="000000"/>
          <w:sz w:val="28"/>
          <w:szCs w:val="28"/>
          <w:lang w:eastAsia="es-ES"/>
        </w:rPr>
        <w:t>, donde se aprecia el efecto del aumento del permiso por paternidad </w:t>
      </w:r>
      <w:r w:rsidRPr="00537B2D">
        <w:rPr>
          <w:rFonts w:ascii="Comic Sans MS" w:eastAsia="Times New Roman" w:hAnsi="Comic Sans MS" w:cs="Arial"/>
          <w:color w:val="000000"/>
          <w:sz w:val="28"/>
          <w:szCs w:val="28"/>
          <w:u w:val="single"/>
          <w:lang w:eastAsia="es-ES"/>
        </w:rPr>
        <w:t>de 5 a 12 semanas</w:t>
      </w:r>
      <w:r w:rsidRPr="00537B2D">
        <w:rPr>
          <w:rFonts w:ascii="Comic Sans MS" w:eastAsia="Times New Roman" w:hAnsi="Comic Sans MS" w:cs="Arial"/>
          <w:color w:val="000000"/>
          <w:sz w:val="28"/>
          <w:szCs w:val="28"/>
          <w:lang w:eastAsia="es-ES"/>
        </w:rPr>
        <w:t>.</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Mención aparte merece el incremento del </w:t>
      </w:r>
      <w:r w:rsidRPr="00537B2D">
        <w:rPr>
          <w:rFonts w:ascii="Comic Sans MS" w:eastAsia="Times New Roman" w:hAnsi="Comic Sans MS" w:cs="Arial"/>
          <w:b/>
          <w:bCs/>
          <w:color w:val="000000"/>
          <w:sz w:val="28"/>
          <w:szCs w:val="28"/>
          <w:lang w:eastAsia="es-ES"/>
        </w:rPr>
        <w:t>17,07%</w:t>
      </w:r>
      <w:r w:rsidRPr="00537B2D">
        <w:rPr>
          <w:rFonts w:ascii="Comic Sans MS" w:eastAsia="Times New Roman" w:hAnsi="Comic Sans MS" w:cs="Arial"/>
          <w:color w:val="000000"/>
          <w:sz w:val="28"/>
          <w:szCs w:val="28"/>
          <w:lang w:eastAsia="es-ES"/>
        </w:rPr>
        <w:t> en el gasto en incapacidad temporal hasta un total de </w:t>
      </w:r>
      <w:r w:rsidRPr="00537B2D">
        <w:rPr>
          <w:rFonts w:ascii="Comic Sans MS" w:eastAsia="Times New Roman" w:hAnsi="Comic Sans MS" w:cs="Arial"/>
          <w:b/>
          <w:bCs/>
          <w:color w:val="000000"/>
          <w:sz w:val="28"/>
          <w:szCs w:val="28"/>
          <w:lang w:eastAsia="es-ES"/>
        </w:rPr>
        <w:t>2.313,41</w:t>
      </w:r>
      <w:r w:rsidRPr="00537B2D">
        <w:rPr>
          <w:rFonts w:ascii="Comic Sans MS" w:eastAsia="Times New Roman" w:hAnsi="Comic Sans MS" w:cs="Arial"/>
          <w:color w:val="000000"/>
          <w:sz w:val="28"/>
          <w:szCs w:val="28"/>
          <w:lang w:eastAsia="es-ES"/>
        </w:rPr>
        <w:t> millones de euros. Un aumento que se explica en parte porque ya en marzo el Gobierno adoptó una medida para proporcionar protección excepcional de los trabajadores infectados por coronavirus o en aislamiento preventivo. Esto supone la asimilación de esta situación como I.T. por accidente de trabajo y que las personas trabajadoras que por los motivos señalados hayan debido interrumpir su actividad laboral percibirán desde el primer día de la baja el 75% de la base reguladora, que abona la Seguridad Social.</w:t>
      </w:r>
    </w:p>
    <w:tbl>
      <w:tblPr>
        <w:tblW w:w="0" w:type="auto"/>
        <w:tblInd w:w="-5" w:type="dxa"/>
        <w:tblCellMar>
          <w:left w:w="0" w:type="dxa"/>
          <w:right w:w="0" w:type="dxa"/>
        </w:tblCellMar>
        <w:tblLook w:val="04A0" w:firstRow="1" w:lastRow="0" w:firstColumn="1" w:lastColumn="0" w:noHBand="0" w:noVBand="1"/>
      </w:tblPr>
      <w:tblGrid>
        <w:gridCol w:w="3913"/>
        <w:gridCol w:w="2187"/>
        <w:gridCol w:w="2389"/>
      </w:tblGrid>
      <w:tr w:rsidR="006E2506" w:rsidRPr="00537B2D" w:rsidTr="006E2506">
        <w:trPr>
          <w:trHeight w:val="227"/>
        </w:trPr>
        <w:tc>
          <w:tcPr>
            <w:tcW w:w="0" w:type="auto"/>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PENSIONES Y PRESTACIONES NO CONTRIBUTIVAS</w:t>
            </w:r>
          </w:p>
        </w:tc>
        <w:tc>
          <w:tcPr>
            <w:tcW w:w="0" w:type="auto"/>
            <w:vMerge w:val="restart"/>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PRESUPUESTO</w:t>
            </w:r>
          </w:p>
        </w:tc>
        <w:tc>
          <w:tcPr>
            <w:tcW w:w="0" w:type="auto"/>
            <w:tcBorders>
              <w:top w:val="single" w:sz="8" w:space="0" w:color="auto"/>
              <w:left w:val="nil"/>
              <w:bottom w:val="nil"/>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OBLIGACIONES</w:t>
            </w:r>
          </w:p>
        </w:tc>
      </w:tr>
      <w:tr w:rsidR="006E2506" w:rsidRPr="00537B2D" w:rsidTr="006E2506">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p>
        </w:tc>
        <w:tc>
          <w:tcPr>
            <w:tcW w:w="0" w:type="auto"/>
            <w:vMerge/>
            <w:tcBorders>
              <w:top w:val="single" w:sz="8" w:space="0" w:color="auto"/>
              <w:left w:val="nil"/>
              <w:bottom w:val="single" w:sz="8" w:space="0" w:color="auto"/>
              <w:right w:val="single" w:sz="8" w:space="0" w:color="auto"/>
            </w:tcBorders>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p>
        </w:tc>
        <w:tc>
          <w:tcPr>
            <w:tcW w:w="0" w:type="auto"/>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RECONOCIDAS</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Pensiones no contributivas y Complemento a mínimos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9.698,92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2.069,07</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Subsidios y otras prestaciones no contributivas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1.697,40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653,83</w:t>
            </w:r>
          </w:p>
        </w:tc>
      </w:tr>
      <w:tr w:rsidR="006E2506" w:rsidRPr="00537B2D" w:rsidTr="006E2506">
        <w:trPr>
          <w:trHeight w:val="227"/>
        </w:trPr>
        <w:tc>
          <w:tcPr>
            <w:tcW w:w="0" w:type="auto"/>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PENSIONES Y PRESTACIONES NO CONTRIBUTIVAS</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11.396,32</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2.722,90</w:t>
            </w:r>
          </w:p>
        </w:tc>
      </w:tr>
    </w:tbl>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bl>
      <w:tblPr>
        <w:tblW w:w="8260" w:type="dxa"/>
        <w:tblInd w:w="-5" w:type="dxa"/>
        <w:tblCellMar>
          <w:left w:w="0" w:type="dxa"/>
          <w:right w:w="0" w:type="dxa"/>
        </w:tblCellMar>
        <w:tblLook w:val="04A0" w:firstRow="1" w:lastRow="0" w:firstColumn="1" w:lastColumn="0" w:noHBand="0" w:noVBand="1"/>
      </w:tblPr>
      <w:tblGrid>
        <w:gridCol w:w="3684"/>
        <w:gridCol w:w="2187"/>
        <w:gridCol w:w="2389"/>
      </w:tblGrid>
      <w:tr w:rsidR="006E2506" w:rsidRPr="00537B2D" w:rsidTr="006E2506">
        <w:trPr>
          <w:trHeight w:val="283"/>
        </w:trPr>
        <w:tc>
          <w:tcPr>
            <w:tcW w:w="5080" w:type="dxa"/>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Pensiones no Contributivas + Compl. a Mínimos de Pensiones Contributivas</w:t>
            </w:r>
          </w:p>
        </w:tc>
        <w:tc>
          <w:tcPr>
            <w:tcW w:w="1580"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PRESUPUESTO</w:t>
            </w:r>
          </w:p>
        </w:tc>
        <w:tc>
          <w:tcPr>
            <w:tcW w:w="1600"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OBLIGACIONES RECONOCIDAS</w:t>
            </w:r>
          </w:p>
        </w:tc>
      </w:tr>
      <w:tr w:rsidR="006E2506" w:rsidRPr="00537B2D" w:rsidTr="006E2506">
        <w:trPr>
          <w:trHeight w:val="255"/>
        </w:trPr>
        <w:tc>
          <w:tcPr>
            <w:tcW w:w="50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Complementos a Mínimos de Pensiones Contributivas</w:t>
            </w:r>
          </w:p>
        </w:tc>
        <w:tc>
          <w:tcPr>
            <w:tcW w:w="1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7.318,92</w:t>
            </w:r>
          </w:p>
        </w:tc>
        <w:tc>
          <w:tcPr>
            <w:tcW w:w="16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1.538,51</w:t>
            </w:r>
          </w:p>
        </w:tc>
      </w:tr>
      <w:tr w:rsidR="006E2506" w:rsidRPr="00537B2D" w:rsidTr="006E2506">
        <w:trPr>
          <w:trHeight w:val="255"/>
        </w:trPr>
        <w:tc>
          <w:tcPr>
            <w:tcW w:w="50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Pensiones de Jubilación</w:t>
            </w:r>
          </w:p>
        </w:tc>
        <w:tc>
          <w:tcPr>
            <w:tcW w:w="1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1.283,48</w:t>
            </w:r>
          </w:p>
        </w:tc>
        <w:tc>
          <w:tcPr>
            <w:tcW w:w="16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295,44</w:t>
            </w:r>
          </w:p>
        </w:tc>
      </w:tr>
      <w:tr w:rsidR="006E2506" w:rsidRPr="00537B2D" w:rsidTr="006E2506">
        <w:trPr>
          <w:trHeight w:val="255"/>
        </w:trPr>
        <w:tc>
          <w:tcPr>
            <w:tcW w:w="50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Pensiones de Invalidez</w:t>
            </w:r>
          </w:p>
        </w:tc>
        <w:tc>
          <w:tcPr>
            <w:tcW w:w="1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1.096,52</w:t>
            </w:r>
          </w:p>
        </w:tc>
        <w:tc>
          <w:tcPr>
            <w:tcW w:w="16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235,12</w:t>
            </w:r>
          </w:p>
        </w:tc>
      </w:tr>
      <w:tr w:rsidR="006E2506" w:rsidRPr="00537B2D" w:rsidTr="006E2506">
        <w:trPr>
          <w:trHeight w:val="255"/>
        </w:trPr>
        <w:tc>
          <w:tcPr>
            <w:tcW w:w="5080"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PENS. NO CONTR. + COMPL. A MÍN. DE PENS. CONTR.</w:t>
            </w:r>
          </w:p>
        </w:tc>
        <w:tc>
          <w:tcPr>
            <w:tcW w:w="158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9.698,92</w:t>
            </w:r>
          </w:p>
        </w:tc>
        <w:tc>
          <w:tcPr>
            <w:tcW w:w="160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2.069,07</w:t>
            </w:r>
          </w:p>
        </w:tc>
      </w:tr>
    </w:tbl>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bl>
      <w:tblPr>
        <w:tblW w:w="8260" w:type="dxa"/>
        <w:tblInd w:w="-5" w:type="dxa"/>
        <w:tblCellMar>
          <w:left w:w="0" w:type="dxa"/>
          <w:right w:w="0" w:type="dxa"/>
        </w:tblCellMar>
        <w:tblLook w:val="04A0" w:firstRow="1" w:lastRow="0" w:firstColumn="1" w:lastColumn="0" w:noHBand="0" w:noVBand="1"/>
      </w:tblPr>
      <w:tblGrid>
        <w:gridCol w:w="3684"/>
        <w:gridCol w:w="2187"/>
        <w:gridCol w:w="2389"/>
      </w:tblGrid>
      <w:tr w:rsidR="006E2506" w:rsidRPr="00537B2D" w:rsidTr="006E2506">
        <w:trPr>
          <w:trHeight w:val="20"/>
        </w:trPr>
        <w:tc>
          <w:tcPr>
            <w:tcW w:w="5080" w:type="dxa"/>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SUBSIDIOS Y OTRAS PRESTACIONES</w:t>
            </w:r>
          </w:p>
        </w:tc>
        <w:tc>
          <w:tcPr>
            <w:tcW w:w="1580"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PRESUPUESTO</w:t>
            </w:r>
          </w:p>
        </w:tc>
        <w:tc>
          <w:tcPr>
            <w:tcW w:w="1600"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OBLIGACIONES RECONOCIDAS</w:t>
            </w:r>
          </w:p>
        </w:tc>
      </w:tr>
      <w:tr w:rsidR="006E2506" w:rsidRPr="00537B2D" w:rsidTr="006E2506">
        <w:trPr>
          <w:trHeight w:val="20"/>
        </w:trPr>
        <w:tc>
          <w:tcPr>
            <w:tcW w:w="50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Prestaciones Familiares</w:t>
            </w:r>
          </w:p>
        </w:tc>
        <w:tc>
          <w:tcPr>
            <w:tcW w:w="1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1.585,20</w:t>
            </w:r>
          </w:p>
        </w:tc>
        <w:tc>
          <w:tcPr>
            <w:tcW w:w="16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635,54</w:t>
            </w:r>
          </w:p>
        </w:tc>
      </w:tr>
      <w:tr w:rsidR="006E2506" w:rsidRPr="00537B2D" w:rsidTr="006E2506">
        <w:trPr>
          <w:trHeight w:val="20"/>
        </w:trPr>
        <w:tc>
          <w:tcPr>
            <w:tcW w:w="50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Prestaciones Sociales</w:t>
            </w:r>
          </w:p>
        </w:tc>
        <w:tc>
          <w:tcPr>
            <w:tcW w:w="1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32,12</w:t>
            </w:r>
          </w:p>
        </w:tc>
        <w:tc>
          <w:tcPr>
            <w:tcW w:w="16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1,32</w:t>
            </w:r>
          </w:p>
        </w:tc>
      </w:tr>
      <w:tr w:rsidR="006E2506" w:rsidRPr="00537B2D" w:rsidTr="006E2506">
        <w:trPr>
          <w:trHeight w:val="20"/>
        </w:trPr>
        <w:tc>
          <w:tcPr>
            <w:tcW w:w="50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Farmacia</w:t>
            </w:r>
          </w:p>
        </w:tc>
        <w:tc>
          <w:tcPr>
            <w:tcW w:w="1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28,96</w:t>
            </w:r>
          </w:p>
        </w:tc>
        <w:tc>
          <w:tcPr>
            <w:tcW w:w="16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8,50</w:t>
            </w:r>
          </w:p>
        </w:tc>
      </w:tr>
      <w:tr w:rsidR="006E2506" w:rsidRPr="00537B2D" w:rsidTr="006E2506">
        <w:trPr>
          <w:trHeight w:val="20"/>
        </w:trPr>
        <w:tc>
          <w:tcPr>
            <w:tcW w:w="50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Síndrome Tóxico</w:t>
            </w:r>
          </w:p>
        </w:tc>
        <w:tc>
          <w:tcPr>
            <w:tcW w:w="1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27,53</w:t>
            </w:r>
          </w:p>
        </w:tc>
        <w:tc>
          <w:tcPr>
            <w:tcW w:w="16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5,52</w:t>
            </w:r>
          </w:p>
        </w:tc>
      </w:tr>
      <w:tr w:rsidR="006E2506" w:rsidRPr="00537B2D" w:rsidTr="006E2506">
        <w:trPr>
          <w:trHeight w:val="20"/>
        </w:trPr>
        <w:tc>
          <w:tcPr>
            <w:tcW w:w="50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Prestaciones LISMI</w:t>
            </w:r>
          </w:p>
        </w:tc>
        <w:tc>
          <w:tcPr>
            <w:tcW w:w="1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14,30</w:t>
            </w:r>
          </w:p>
        </w:tc>
        <w:tc>
          <w:tcPr>
            <w:tcW w:w="16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2,42</w:t>
            </w:r>
          </w:p>
        </w:tc>
      </w:tr>
      <w:tr w:rsidR="006E2506" w:rsidRPr="00537B2D" w:rsidTr="006E2506">
        <w:trPr>
          <w:trHeight w:val="20"/>
        </w:trPr>
        <w:tc>
          <w:tcPr>
            <w:tcW w:w="50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Maternidad, Paternidad, Riesgo durante el Embarazo</w:t>
            </w:r>
          </w:p>
        </w:tc>
        <w:tc>
          <w:tcPr>
            <w:tcW w:w="1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0,55</w:t>
            </w:r>
          </w:p>
        </w:tc>
        <w:tc>
          <w:tcPr>
            <w:tcW w:w="16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0,06</w:t>
            </w:r>
          </w:p>
        </w:tc>
      </w:tr>
      <w:tr w:rsidR="006E2506" w:rsidRPr="00537B2D" w:rsidTr="006E2506">
        <w:trPr>
          <w:trHeight w:val="20"/>
        </w:trPr>
        <w:tc>
          <w:tcPr>
            <w:tcW w:w="50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Ayudas Genéricas e Ins. Sin Fin Lucro</w:t>
            </w:r>
          </w:p>
        </w:tc>
        <w:tc>
          <w:tcPr>
            <w:tcW w:w="1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0,07</w:t>
            </w:r>
          </w:p>
        </w:tc>
        <w:tc>
          <w:tcPr>
            <w:tcW w:w="16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w:t>
            </w:r>
          </w:p>
        </w:tc>
      </w:tr>
      <w:tr w:rsidR="006E2506" w:rsidRPr="00537B2D" w:rsidTr="006E2506">
        <w:trPr>
          <w:trHeight w:val="20"/>
        </w:trPr>
        <w:tc>
          <w:tcPr>
            <w:tcW w:w="50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Otras Prestaciones e Indemnizaciones</w:t>
            </w:r>
          </w:p>
        </w:tc>
        <w:tc>
          <w:tcPr>
            <w:tcW w:w="1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8,67</w:t>
            </w:r>
          </w:p>
        </w:tc>
        <w:tc>
          <w:tcPr>
            <w:tcW w:w="16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0,47</w:t>
            </w:r>
          </w:p>
        </w:tc>
      </w:tr>
      <w:tr w:rsidR="006E2506" w:rsidRPr="00537B2D" w:rsidTr="006E2506">
        <w:trPr>
          <w:trHeight w:val="20"/>
        </w:trPr>
        <w:tc>
          <w:tcPr>
            <w:tcW w:w="5080"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SUMA DE SUBSIDIOS Y OTRAS PRESTACIONES</w:t>
            </w:r>
          </w:p>
        </w:tc>
        <w:tc>
          <w:tcPr>
            <w:tcW w:w="158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1.697,40</w:t>
            </w:r>
          </w:p>
        </w:tc>
        <w:tc>
          <w:tcPr>
            <w:tcW w:w="160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6E2506" w:rsidRPr="00537B2D" w:rsidRDefault="006E2506" w:rsidP="00537B2D">
            <w:pPr>
              <w:spacing w:after="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lang w:eastAsia="es-ES"/>
              </w:rPr>
              <w:t>653,83</w:t>
            </w:r>
          </w:p>
        </w:tc>
      </w:tr>
    </w:tbl>
    <w:p w:rsidR="006E2506" w:rsidRPr="00537B2D" w:rsidRDefault="006E2506" w:rsidP="00537B2D">
      <w:pPr>
        <w:spacing w:before="100"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A 31 de marzo, las pensiones y prestaciones no contributivas, incluidos los complementos por mínimos de las pensiones contributivas, alcanzan un importe de </w:t>
      </w:r>
      <w:r w:rsidRPr="00537B2D">
        <w:rPr>
          <w:rFonts w:ascii="Comic Sans MS" w:eastAsia="Times New Roman" w:hAnsi="Comic Sans MS" w:cs="Arial"/>
          <w:b/>
          <w:bCs/>
          <w:color w:val="000000"/>
          <w:sz w:val="28"/>
          <w:szCs w:val="28"/>
          <w:lang w:eastAsia="es-ES"/>
        </w:rPr>
        <w:t>2.722,90</w:t>
      </w:r>
      <w:r w:rsidRPr="00537B2D">
        <w:rPr>
          <w:rFonts w:ascii="Comic Sans MS" w:eastAsia="Times New Roman" w:hAnsi="Comic Sans MS" w:cs="Arial"/>
          <w:color w:val="000000"/>
          <w:sz w:val="28"/>
          <w:szCs w:val="28"/>
          <w:lang w:eastAsia="es-ES"/>
        </w:rPr>
        <w:t> millones de euros, cifra que supone un aumento del 4% respecto al mismo periodo del ejercicio anterior. De dicho importe, se destina a pensiones no contributivas y complementos por mínimos </w:t>
      </w:r>
      <w:r w:rsidRPr="00537B2D">
        <w:rPr>
          <w:rFonts w:ascii="Comic Sans MS" w:eastAsia="Times New Roman" w:hAnsi="Comic Sans MS" w:cs="Arial"/>
          <w:b/>
          <w:bCs/>
          <w:color w:val="000000"/>
          <w:sz w:val="28"/>
          <w:szCs w:val="28"/>
          <w:lang w:eastAsia="es-ES"/>
        </w:rPr>
        <w:t>2.069,07</w:t>
      </w:r>
      <w:r w:rsidRPr="00537B2D">
        <w:rPr>
          <w:rFonts w:ascii="Comic Sans MS" w:eastAsia="Times New Roman" w:hAnsi="Comic Sans MS" w:cs="Arial"/>
          <w:color w:val="000000"/>
          <w:sz w:val="28"/>
          <w:szCs w:val="28"/>
          <w:lang w:eastAsia="es-ES"/>
        </w:rPr>
        <w:t> millones y a subsidios y otras prestaciones </w:t>
      </w:r>
      <w:r w:rsidRPr="00537B2D">
        <w:rPr>
          <w:rFonts w:ascii="Comic Sans MS" w:eastAsia="Times New Roman" w:hAnsi="Comic Sans MS" w:cs="Arial"/>
          <w:b/>
          <w:bCs/>
          <w:color w:val="000000"/>
          <w:sz w:val="28"/>
          <w:szCs w:val="28"/>
          <w:lang w:eastAsia="es-ES"/>
        </w:rPr>
        <w:t>653,83</w:t>
      </w:r>
      <w:r w:rsidRPr="00537B2D">
        <w:rPr>
          <w:rFonts w:ascii="Comic Sans MS" w:eastAsia="Times New Roman" w:hAnsi="Comic Sans MS" w:cs="Arial"/>
          <w:color w:val="000000"/>
          <w:sz w:val="28"/>
          <w:szCs w:val="28"/>
          <w:lang w:eastAsia="es-ES"/>
        </w:rPr>
        <w:t> millones de euros, de los que </w:t>
      </w:r>
      <w:r w:rsidRPr="00537B2D">
        <w:rPr>
          <w:rFonts w:ascii="Comic Sans MS" w:eastAsia="Times New Roman" w:hAnsi="Comic Sans MS" w:cs="Arial"/>
          <w:b/>
          <w:bCs/>
          <w:color w:val="000000"/>
          <w:sz w:val="28"/>
          <w:szCs w:val="28"/>
          <w:lang w:eastAsia="es-ES"/>
        </w:rPr>
        <w:t>635,54</w:t>
      </w:r>
      <w:r w:rsidRPr="00537B2D">
        <w:rPr>
          <w:rFonts w:ascii="Comic Sans MS" w:eastAsia="Times New Roman" w:hAnsi="Comic Sans MS" w:cs="Arial"/>
          <w:color w:val="000000"/>
          <w:sz w:val="28"/>
          <w:szCs w:val="28"/>
          <w:lang w:eastAsia="es-ES"/>
        </w:rPr>
        <w:t> millones de euros corresponden a prestaciones familiares, un </w:t>
      </w:r>
      <w:r w:rsidRPr="00537B2D">
        <w:rPr>
          <w:rFonts w:ascii="Comic Sans MS" w:eastAsia="Times New Roman" w:hAnsi="Comic Sans MS" w:cs="Arial"/>
          <w:b/>
          <w:bCs/>
          <w:color w:val="000000"/>
          <w:sz w:val="28"/>
          <w:szCs w:val="28"/>
          <w:lang w:eastAsia="es-ES"/>
        </w:rPr>
        <w:t>21,07%</w:t>
      </w:r>
      <w:r w:rsidRPr="00537B2D">
        <w:rPr>
          <w:rFonts w:ascii="Comic Sans MS" w:eastAsia="Times New Roman" w:hAnsi="Comic Sans MS" w:cs="Arial"/>
          <w:color w:val="000000"/>
          <w:sz w:val="28"/>
          <w:szCs w:val="28"/>
          <w:lang w:eastAsia="es-ES"/>
        </w:rPr>
        <w:t> superior al del ejercicio precedente.</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El incremento en las prestaciones familiares viene motivado por la mejora en la cuantía de las mismas, establecida por el Real Decreto Ley 8/2019, de 12-3, de medidas urgentes de protección social y de lucha contra la precariedad laboral que ha pasado de una prestación por hijo a cargo por </w:t>
      </w:r>
      <w:r w:rsidRPr="00537B2D">
        <w:rPr>
          <w:rFonts w:ascii="Comic Sans MS" w:eastAsia="Times New Roman" w:hAnsi="Comic Sans MS" w:cs="Arial"/>
          <w:color w:val="000000"/>
          <w:sz w:val="28"/>
          <w:szCs w:val="28"/>
          <w:u w:val="single"/>
          <w:lang w:eastAsia="es-ES"/>
        </w:rPr>
        <w:t>importe de 291 euros a 341 euros</w:t>
      </w:r>
      <w:r w:rsidRPr="00537B2D">
        <w:rPr>
          <w:rFonts w:ascii="Comic Sans MS" w:eastAsia="Times New Roman" w:hAnsi="Comic Sans MS" w:cs="Arial"/>
          <w:color w:val="000000"/>
          <w:sz w:val="28"/>
          <w:szCs w:val="28"/>
          <w:lang w:eastAsia="es-ES"/>
        </w:rPr>
        <w:t>, </w:t>
      </w:r>
      <w:r w:rsidRPr="00537B2D">
        <w:rPr>
          <w:rFonts w:ascii="Comic Sans MS" w:eastAsia="Times New Roman" w:hAnsi="Comic Sans MS" w:cs="Arial"/>
          <w:color w:val="000000"/>
          <w:sz w:val="28"/>
          <w:szCs w:val="28"/>
          <w:u w:val="single"/>
          <w:lang w:eastAsia="es-ES"/>
        </w:rPr>
        <w:t>o de 588 euros</w:t>
      </w:r>
      <w:r w:rsidRPr="00537B2D">
        <w:rPr>
          <w:rFonts w:ascii="Comic Sans MS" w:eastAsia="Times New Roman" w:hAnsi="Comic Sans MS" w:cs="Arial"/>
          <w:color w:val="000000"/>
          <w:sz w:val="28"/>
          <w:szCs w:val="28"/>
          <w:lang w:eastAsia="es-ES"/>
        </w:rPr>
        <w:t> en los casos en los que los ingresos del hogar sean inferiores a la escala que precisa aquellas familias que se sitúan en la pobreza más severa.</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b/>
          <w:bCs/>
          <w:color w:val="000000"/>
          <w:sz w:val="28"/>
          <w:szCs w:val="28"/>
          <w:u w:val="single"/>
          <w:lang w:eastAsia="es-ES"/>
        </w:rPr>
        <w:t>GASTOS DE GESTIÓN</w:t>
      </w:r>
    </w:p>
    <w:p w:rsidR="006E2506" w:rsidRPr="00537B2D" w:rsidRDefault="006E2506" w:rsidP="00537B2D">
      <w:pPr>
        <w:spacing w:after="4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Por lo que respecta a los gastos de gestión realizados por la Seguridad Social, con un aumento global del 6,27% interanual, han experimentado:</w:t>
      </w:r>
    </w:p>
    <w:p w:rsidR="006E2506" w:rsidRPr="00537B2D" w:rsidRDefault="006E2506" w:rsidP="00537B2D">
      <w:pPr>
        <w:spacing w:after="40" w:line="240" w:lineRule="auto"/>
        <w:ind w:left="284"/>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un aumento del </w:t>
      </w:r>
      <w:r w:rsidRPr="00537B2D">
        <w:rPr>
          <w:rFonts w:ascii="Comic Sans MS" w:eastAsia="Times New Roman" w:hAnsi="Comic Sans MS" w:cs="Arial"/>
          <w:b/>
          <w:bCs/>
          <w:color w:val="000000"/>
          <w:sz w:val="28"/>
          <w:szCs w:val="28"/>
          <w:lang w:eastAsia="es-ES"/>
        </w:rPr>
        <w:t>11,61%</w:t>
      </w:r>
      <w:r w:rsidRPr="00537B2D">
        <w:rPr>
          <w:rFonts w:ascii="Comic Sans MS" w:eastAsia="Times New Roman" w:hAnsi="Comic Sans MS" w:cs="Arial"/>
          <w:color w:val="000000"/>
          <w:sz w:val="28"/>
          <w:szCs w:val="28"/>
          <w:lang w:eastAsia="es-ES"/>
        </w:rPr>
        <w:t> en gastos de personal</w:t>
      </w:r>
    </w:p>
    <w:p w:rsidR="006E2506" w:rsidRPr="00537B2D" w:rsidRDefault="006E2506" w:rsidP="00537B2D">
      <w:pPr>
        <w:spacing w:after="40" w:line="240" w:lineRule="auto"/>
        <w:ind w:left="284"/>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una disminución del </w:t>
      </w:r>
      <w:r w:rsidRPr="00537B2D">
        <w:rPr>
          <w:rFonts w:ascii="Comic Sans MS" w:eastAsia="Times New Roman" w:hAnsi="Comic Sans MS" w:cs="Arial"/>
          <w:b/>
          <w:bCs/>
          <w:color w:val="000000"/>
          <w:sz w:val="28"/>
          <w:szCs w:val="28"/>
          <w:lang w:eastAsia="es-ES"/>
        </w:rPr>
        <w:t>2,34%</w:t>
      </w:r>
      <w:r w:rsidRPr="00537B2D">
        <w:rPr>
          <w:rFonts w:ascii="Comic Sans MS" w:eastAsia="Times New Roman" w:hAnsi="Comic Sans MS" w:cs="Arial"/>
          <w:color w:val="000000"/>
          <w:sz w:val="28"/>
          <w:szCs w:val="28"/>
          <w:lang w:eastAsia="es-ES"/>
        </w:rPr>
        <w:t> en gastos corrientes de bienes y servicios</w:t>
      </w:r>
    </w:p>
    <w:p w:rsidR="006E2506" w:rsidRPr="00537B2D" w:rsidRDefault="006E2506" w:rsidP="00537B2D">
      <w:pPr>
        <w:spacing w:after="100" w:line="240" w:lineRule="auto"/>
        <w:ind w:left="284"/>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 un aumento del </w:t>
      </w:r>
      <w:r w:rsidRPr="00537B2D">
        <w:rPr>
          <w:rFonts w:ascii="Comic Sans MS" w:eastAsia="Times New Roman" w:hAnsi="Comic Sans MS" w:cs="Arial"/>
          <w:b/>
          <w:bCs/>
          <w:color w:val="000000"/>
          <w:sz w:val="28"/>
          <w:szCs w:val="28"/>
          <w:lang w:eastAsia="es-ES"/>
        </w:rPr>
        <w:t>2,25%</w:t>
      </w:r>
      <w:r w:rsidRPr="00537B2D">
        <w:rPr>
          <w:rFonts w:ascii="Comic Sans MS" w:eastAsia="Times New Roman" w:hAnsi="Comic Sans MS" w:cs="Arial"/>
          <w:color w:val="000000"/>
          <w:sz w:val="28"/>
          <w:szCs w:val="28"/>
          <w:lang w:eastAsia="es-ES"/>
        </w:rPr>
        <w:t> en gastos dedicados a inversiones</w:t>
      </w:r>
    </w:p>
    <w:p w:rsidR="006E2506" w:rsidRPr="00537B2D" w:rsidRDefault="006E2506" w:rsidP="00537B2D">
      <w:pPr>
        <w:spacing w:after="100" w:line="240" w:lineRule="auto"/>
        <w:jc w:val="both"/>
        <w:rPr>
          <w:rFonts w:ascii="Comic Sans MS" w:eastAsia="Times New Roman" w:hAnsi="Comic Sans MS" w:cs="Arial"/>
          <w:color w:val="000000"/>
          <w:sz w:val="28"/>
          <w:szCs w:val="28"/>
          <w:lang w:eastAsia="es-ES"/>
        </w:rPr>
      </w:pPr>
      <w:r w:rsidRPr="00537B2D">
        <w:rPr>
          <w:rFonts w:ascii="Comic Sans MS" w:eastAsia="Times New Roman" w:hAnsi="Comic Sans MS" w:cs="Arial"/>
          <w:color w:val="000000"/>
          <w:sz w:val="28"/>
          <w:szCs w:val="28"/>
          <w:lang w:eastAsia="es-ES"/>
        </w:rPr>
        <w:t>El aumento de los gastos de personal está motivado principalmente por un cambio de criterio en la imputación de las cuotas de empleadores devengadas en diciembre del ejercicio. Así, hasta 2018 estas cuotas se aplicaban al ejercicio cerrado, pero a partir del ejercicio 2019 se han imputado, al igual que los restantes meses del año, en el mes siguiente al de su devengo y, consiguiente, al presupuesto del ejercicio 2020 que es cuando se produce el reconocimiento y liquidación de estas cuotas.</w:t>
      </w:r>
    </w:p>
    <w:p w:rsidR="006E2506" w:rsidRPr="00537B2D" w:rsidRDefault="006E2506" w:rsidP="00537B2D">
      <w:pPr>
        <w:jc w:val="both"/>
        <w:rPr>
          <w:rFonts w:ascii="Comic Sans MS" w:hAnsi="Comic Sans MS"/>
          <w:sz w:val="28"/>
          <w:szCs w:val="28"/>
        </w:rPr>
      </w:pPr>
    </w:p>
    <w:sectPr w:rsidR="006E2506" w:rsidRPr="00537B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06"/>
    <w:rsid w:val="00537B2D"/>
    <w:rsid w:val="006E25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EA52"/>
  <w15:chartTrackingRefBased/>
  <w15:docId w15:val="{D8D358AF-62D3-4A73-9A62-5DD47D5E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9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1886</Words>
  <Characters>10375</Characters>
  <Application>Microsoft Office Word</Application>
  <DocSecurity>0</DocSecurity>
  <Lines>86</Lines>
  <Paragraphs>24</Paragraphs>
  <ScaleCrop>false</ScaleCrop>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2020-05-04T09:07:00Z</dcterms:created>
  <dcterms:modified xsi:type="dcterms:W3CDTF">2020-05-04T09:21:00Z</dcterms:modified>
</cp:coreProperties>
</file>