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C746" w14:textId="77777777" w:rsidR="000E5AC0" w:rsidRPr="000E5AC0" w:rsidRDefault="000E5AC0" w:rsidP="000E5AC0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es-ES"/>
        </w:rPr>
      </w:pPr>
      <w:r w:rsidRPr="000E5AC0">
        <w:rPr>
          <w:rFonts w:ascii="Arial" w:eastAsia="Times New Roman" w:hAnsi="Arial" w:cs="Arial"/>
          <w:b/>
          <w:bCs/>
          <w:color w:val="FF0000"/>
          <w:sz w:val="52"/>
          <w:szCs w:val="52"/>
          <w:lang w:eastAsia="es-ES"/>
        </w:rPr>
        <w:t>LAS NOVEDADES DE LOS ERTE, RESUMIDAS EN 7 PUNTOS</w:t>
      </w:r>
    </w:p>
    <w:p w14:paraId="4F7DB766" w14:textId="3224FDF4" w:rsidR="000E5AC0" w:rsidRPr="000E5AC0" w:rsidRDefault="000E5AC0" w:rsidP="000E5AC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4F19E45" w14:textId="36CBE664" w:rsid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Casi al límite de su finalización, el 29 de septiembre, el Gobierno alcanzaba un acuerdo con la patronal y los sindicatos para prorrogar los ERTES por causas Covid-19, cuya finalización se producía el 30-9/2020.</w:t>
      </w:r>
    </w:p>
    <w:p w14:paraId="64518B37" w14:textId="0E2EFDAD" w:rsid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lang w:eastAsia="es-ES"/>
        </w:rPr>
        <w:t>R</w:t>
      </w:r>
      <w:r w:rsidRPr="000E5AC0">
        <w:rPr>
          <w:rFonts w:ascii="Comic Sans MS" w:eastAsia="Times New Roman" w:hAnsi="Comic Sans MS" w:cs="Arial"/>
          <w:b/>
          <w:bCs/>
          <w:sz w:val="28"/>
          <w:szCs w:val="28"/>
          <w:lang w:eastAsia="es-ES"/>
        </w:rPr>
        <w:t>esum</w:t>
      </w:r>
      <w:r>
        <w:rPr>
          <w:rFonts w:ascii="Comic Sans MS" w:eastAsia="Times New Roman" w:hAnsi="Comic Sans MS" w:cs="Arial"/>
          <w:b/>
          <w:bCs/>
          <w:sz w:val="28"/>
          <w:szCs w:val="28"/>
          <w:lang w:eastAsia="es-ES"/>
        </w:rPr>
        <w:t>imos</w:t>
      </w:r>
      <w:r w:rsidRPr="000E5AC0">
        <w:rPr>
          <w:rFonts w:ascii="Comic Sans MS" w:eastAsia="Times New Roman" w:hAnsi="Comic Sans MS" w:cs="Arial"/>
          <w:b/>
          <w:bCs/>
          <w:sz w:val="28"/>
          <w:szCs w:val="28"/>
          <w:lang w:eastAsia="es-ES"/>
        </w:rPr>
        <w:t xml:space="preserve"> en un post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las 7 novedades más importantes de la nueva normativa:</w:t>
      </w:r>
    </w:p>
    <w:p w14:paraId="2756A821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1. Prórroga automática de los ERTE por Fuerza Mayor hasta el 31-1-2021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sin ningún tipo de exoneración (salvo que las actividades de las empresas afectadas por el ERTE de Fuerza Mayor, se clasifiquen en alguno de los códigos de la CNAE-09 previstos en el anexo del Real Decreto-Ley 30/2020).</w:t>
      </w:r>
    </w:p>
    <w:p w14:paraId="427CCA16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Estos códigos CNAE-09, son los que resulten de aplicación para la determinación de los tipos de cotización para la cobertura de las contingencias de AT y EP respecto de las liquidaciones de cuotas presentadas en septiembre de 2020, según lo establecido en la </w:t>
      </w:r>
      <w:hyperlink r:id="rId4" w:anchor="dacuarta" w:history="1">
        <w:r w:rsidRPr="000E5AC0">
          <w:rPr>
            <w:rFonts w:ascii="Comic Sans MS" w:eastAsia="Times New Roman" w:hAnsi="Comic Sans MS" w:cs="Arial"/>
            <w:b/>
            <w:bCs/>
            <w:sz w:val="28"/>
            <w:szCs w:val="28"/>
            <w:lang w:eastAsia="es-ES"/>
          </w:rPr>
          <w:t>Disposición Adicional 4ª</w:t>
        </w:r>
      </w:hyperlink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la Ley 42-2006, de 28-12, de PGE 2007.</w:t>
      </w:r>
    </w:p>
    <w:p w14:paraId="61A49C8A" w14:textId="4C66719D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Estas empresas con ERTE de FM con prórroga automática, como obligación formal, deberán de formular una nueva solicitud colectiva de prestaciones por desempleo para las personas trabajadoras 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afectadas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al ERTE de FM, y todo ello antes del 20-10/2020.</w:t>
      </w:r>
    </w:p>
    <w:p w14:paraId="03164463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2. Nuevos ERTE por impedimento o por limitaciones de la actividad:</w:t>
      </w:r>
    </w:p>
    <w:p w14:paraId="084A2CCF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Los </w:t>
      </w: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ERTE por actividad impedida: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pueden ser presentados por empresas de cualquier sector o actividad que vean impedido el desarrollo de su actividad en alguno de sus centros de trabajo, como consecuencia de nuevas restricciones o medidas de contención sanitaria adoptadas, a partir del 1-10/2020.</w:t>
      </w:r>
    </w:p>
    <w:p w14:paraId="20A5C670" w14:textId="16FDF632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Los </w:t>
      </w: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ERTE por actividades limitadas: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para empresas y entidades que vean limitado el desarrollo normalizado de su actividad a consecuencia de decisiones o medidas adoptadas por las autoridades españolas (como por ejemplo cuando afecta a la limitación del aforo del local o el horario de apertura o cierre al público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).</w:t>
      </w:r>
    </w:p>
    <w:p w14:paraId="1708461E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3. 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tramitación de</w:t>
      </w: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 ERTE ETOP: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podrán iniciarse mientras esté vigente un ERTE de Fuerza Mayor y se atrasará a la fecha de finalización del último.</w:t>
      </w:r>
    </w:p>
    <w:p w14:paraId="3376B638" w14:textId="777777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ERTE ETOP que estén vigentes a 30-09/2020, seguirán siendo aplicables en los términos previstos en la comunicación final de la empresa, por ejemplo, si el acuerdo en el ERTE ETOP era hasta 31-12/2020 seguirá vigente hasta esa fecha. Además, cabrá prorroga de un ERTE que finalice hasta el 31-1-2021, siempre que se alcance un acuerdo para ello en el periodo de consultas.</w:t>
      </w:r>
    </w:p>
    <w:p w14:paraId="6B2CEB60" w14:textId="2994C8FA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4.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Sigue existiendo la</w:t>
      </w: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 limitación para la tramitación de ERTE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respecto de empresas y entidades que tengan su domicilio fiscal en países o territorios calificados como paraísos fiscales. También se limita el reparto de dividendos para empresas y sociedades acogidas a determinadas medidas de regulación temporal de empleo, recogidas en el </w:t>
      </w:r>
      <w:hyperlink r:id="rId5" w:anchor="a5" w:history="1">
        <w:r w:rsidRPr="000E5AC0">
          <w:rPr>
            <w:rFonts w:ascii="Comic Sans MS" w:eastAsia="Times New Roman" w:hAnsi="Comic Sans MS" w:cs="Arial"/>
            <w:color w:val="0000FF"/>
            <w:sz w:val="28"/>
            <w:szCs w:val="28"/>
            <w:u w:val="single"/>
            <w:lang w:eastAsia="es-ES"/>
          </w:rPr>
          <w:t>ar</w:t>
        </w:r>
        <w:r w:rsidRPr="000E5AC0">
          <w:rPr>
            <w:rFonts w:ascii="Comic Sans MS" w:eastAsia="Times New Roman" w:hAnsi="Comic Sans MS" w:cs="Arial"/>
            <w:color w:val="0000FF"/>
            <w:sz w:val="28"/>
            <w:szCs w:val="28"/>
            <w:u w:val="single"/>
            <w:lang w:eastAsia="es-ES"/>
          </w:rPr>
          <w:t>t</w:t>
        </w:r>
        <w:r w:rsidRPr="000E5AC0">
          <w:rPr>
            <w:rFonts w:ascii="Comic Sans MS" w:eastAsia="Times New Roman" w:hAnsi="Comic Sans MS" w:cs="Arial"/>
            <w:color w:val="0000FF"/>
            <w:sz w:val="28"/>
            <w:szCs w:val="28"/>
            <w:u w:val="single"/>
            <w:lang w:eastAsia="es-ES"/>
          </w:rPr>
          <w:t>ículo 5</w:t>
        </w:r>
      </w:hyperlink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del Real Decreto-Ley 24/2020, de 26-6.</w:t>
      </w:r>
    </w:p>
    <w:p w14:paraId="354EB0B2" w14:textId="4BEEE780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5. Salvaguarda del Empleo: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que las empresas que, conforme a lo previsto en este Real Decreto-Ley reciban exoneraciones en las cuotas a la Seguridad Social, quedarán comprometidas, en base a la aplicación de dichas medidas excepcionales, a un nuevo periodo de 6 meses de salvaguarda del empleo, cuyo contenido, requisitos y cómputo se efectuará en los términos establecidos en la </w:t>
      </w:r>
      <w:hyperlink r:id="rId6" w:anchor="da-6" w:history="1">
        <w:r w:rsidRPr="000E5AC0">
          <w:rPr>
            <w:rFonts w:ascii="Comic Sans MS" w:eastAsia="Times New Roman" w:hAnsi="Comic Sans MS" w:cs="Arial"/>
            <w:b/>
            <w:bCs/>
            <w:sz w:val="28"/>
            <w:szCs w:val="28"/>
            <w:lang w:eastAsia="es-ES"/>
          </w:rPr>
          <w:t>Disposición Adicional 6ª</w:t>
        </w:r>
      </w:hyperlink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del Real Decreto-Ley 8/2020.</w:t>
      </w:r>
    </w:p>
    <w:p w14:paraId="17129BD1" w14:textId="04899577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6. Creación de nuevas medidas extraordinarias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materia de protección por desempleo de las personas trabajadoras.</w:t>
      </w:r>
    </w:p>
    <w:p w14:paraId="3FF060D7" w14:textId="2271750D" w:rsidR="000E5AC0" w:rsidRPr="000E5AC0" w:rsidRDefault="000E5AC0" w:rsidP="000E5AC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7. Nuevas prestaciones para los autónomos que se vean obligados a suspender su actividad </w:t>
      </w:r>
      <w:r w:rsidRPr="000E5AC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como medida de contención del Covid-19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14:paraId="75588698" w14:textId="2733FAAF" w:rsidR="000E5AC0" w:rsidRPr="000E5AC0" w:rsidRDefault="000E5AC0">
      <w:pPr>
        <w:rPr>
          <w:rFonts w:ascii="Comic Sans MS" w:hAnsi="Comic Sans MS"/>
          <w:sz w:val="28"/>
          <w:szCs w:val="28"/>
        </w:rPr>
      </w:pPr>
    </w:p>
    <w:p w14:paraId="0173132D" w14:textId="77777777" w:rsidR="000E5AC0" w:rsidRPr="000E5AC0" w:rsidRDefault="000E5AC0" w:rsidP="000E5AC0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  <w:t>Salvaguarda del Empleo</w:t>
      </w:r>
    </w:p>
    <w:p w14:paraId="36B35441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18B41038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En este RD-Ley 30/2020, y en su art. 5 se vuelve a abordar el compromiso de mantenimiento del empleo </w:t>
      </w: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ex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DA 6ª RD Ley 8/2020 y art. 6 RD Ley 24/2020, manteniendo su vigencia en los términos previstos en dichos preceptos y por los plazos recogidos en estos.</w:t>
      </w:r>
    </w:p>
    <w:p w14:paraId="4EDEE1AD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57847F91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Como novedad, en el art. 5 de esta nueva regulación, señala en resumen que las empresas que, conforme a lo previsto en este RD-Ley 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bdr w:val="none" w:sz="0" w:space="0" w:color="auto" w:frame="1"/>
          <w:lang w:eastAsia="es-ES"/>
        </w:rPr>
        <w:t>reciban exoneraciones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en las cuotas a la Seguridad Social, 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bdr w:val="none" w:sz="0" w:space="0" w:color="auto" w:frame="1"/>
          <w:lang w:eastAsia="es-ES"/>
        </w:rPr>
        <w:t>quedarán comprometidas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, en base a la aplicación de dichas medidas excepcionales, 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a un nuevo periodo de 6 meses de salvaguarda del empleo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, cuyo contenido, requisitos y cómputo se efectuará en los términos establecidos en la DA 6ª RD-Ley 8/2020.</w:t>
      </w:r>
    </w:p>
    <w:p w14:paraId="111EAFBA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61482213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No obstante, si la empresa estuviese afectada por un compromiso de mantenimiento del empleo previamente adquirido </w:t>
      </w: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por la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DA 6ª RD-Ley 8/2020 o art. 6 RD Ley 24/2020, 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el inicio del periodo previsto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bdr w:val="none" w:sz="0" w:space="0" w:color="auto" w:frame="1"/>
          <w:lang w:eastAsia="es-ES"/>
        </w:rPr>
        <w:t> en este </w:t>
      </w: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apartado se producirá cuando aquel haya terminado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, es decir que si realizamos un nuevo ERTE con exoneraciones previstas en éste  nuevo RDL 30/2020, y que proviene de un ERTE anterior y que también haya recibido exoneraciones, se iniciará un nuevo periodo de salvaguarda del empleo de 6 meses más.</w:t>
      </w:r>
    </w:p>
    <w:p w14:paraId="275012E3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45F15C17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Así, como bien sabemos que hasta este nuevo RD, las empresas que estaban exoneradas por la aplicación de los anteriores Reales Decretos y la salvaguarda se iniciaba desde que desafectábamos al primer trabajador, y era a partir de ese momento cuando se iniciaba el cómputo de los seis meses para no poder despedir, ahora si nos acogemos a esta nueva exoneración prevista en el RDL 30/2020, una vez finalizado los 6 meses primeros, se inicia un nuevo computo de 6 meses más de salvaguarda del empleo.</w:t>
      </w:r>
    </w:p>
    <w:p w14:paraId="5766BF16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54142412" w14:textId="61A367DF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  <w:r w:rsidRPr="000E5AC0"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  <w:t>Protección del empleo e interrupción contratos temporales</w:t>
      </w:r>
    </w:p>
    <w:p w14:paraId="23B8B73C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005A3378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Se prorrogan hasta el 31/01/2021, los arts. 2 y 5 del RDL 9/2020, de 27 de marzo. Estos nos señalan:</w:t>
      </w:r>
    </w:p>
    <w:p w14:paraId="1F753EB0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6FF2B356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Art.2. Medidas extraordinarias para la protección del empleo.</w:t>
      </w:r>
    </w:p>
    <w:p w14:paraId="4CD6EAD2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La fuerza mayor y las causas económicas, técnicas, organizativas y de producción en las que se amparan las medidas de suspensión de contratos y reducción de jornada previstas en los arts. 22 y 23 del RD-Ley 8/2020, de 17 de marzo, </w:t>
      </w:r>
      <w:r w:rsidRPr="000E5AC0">
        <w:rPr>
          <w:rFonts w:ascii="Comic Sans MS" w:eastAsia="Times New Roman" w:hAnsi="Comic Sans MS" w:cs="Arial"/>
          <w:b/>
          <w:bCs/>
          <w:i/>
          <w:i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no se podrán entender como justificativas de la extinción del contrato de trabajo ni del despido</w:t>
      </w: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.</w:t>
      </w:r>
    </w:p>
    <w:p w14:paraId="6BFB4870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2216DBD6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Art. 5. Interrupción del cómputo de la duración máxima de los contratos temporales.</w:t>
      </w:r>
    </w:p>
    <w:p w14:paraId="61FC70FD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La </w:t>
      </w:r>
      <w:r w:rsidRPr="000E5AC0">
        <w:rPr>
          <w:rFonts w:ascii="Comic Sans MS" w:eastAsia="Times New Roman" w:hAnsi="Comic Sans MS" w:cs="Arial"/>
          <w:b/>
          <w:bCs/>
          <w:i/>
          <w:i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suspensión</w:t>
      </w: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 de los contratos temporales, incluidos los formativos, de relevo e interinidad, por las causas previstas en los arts. 22 y 23 del RD-Ley 8/2020, de 17 de marzo, </w:t>
      </w:r>
      <w:r w:rsidRPr="000E5AC0">
        <w:rPr>
          <w:rFonts w:ascii="Comic Sans MS" w:eastAsia="Times New Roman" w:hAnsi="Comic Sans MS" w:cs="Arial"/>
          <w:b/>
          <w:bCs/>
          <w:i/>
          <w:iCs/>
          <w:color w:val="808080"/>
          <w:sz w:val="28"/>
          <w:szCs w:val="28"/>
          <w:u w:val="single"/>
          <w:bdr w:val="none" w:sz="0" w:space="0" w:color="auto" w:frame="1"/>
          <w:lang w:eastAsia="es-ES"/>
        </w:rPr>
        <w:t>supondrá la interrupción del cómputo, tanto de la duración de estos contratos, como de los periodos de referencia equivalentes al periodo suspendido</w:t>
      </w:r>
      <w:r w:rsidRPr="000E5AC0">
        <w:rPr>
          <w:rFonts w:ascii="Comic Sans MS" w:eastAsia="Times New Roman" w:hAnsi="Comic Sans MS" w:cs="Arial"/>
          <w:i/>
          <w:iCs/>
          <w:color w:val="808080"/>
          <w:sz w:val="28"/>
          <w:szCs w:val="28"/>
          <w:bdr w:val="none" w:sz="0" w:space="0" w:color="auto" w:frame="1"/>
          <w:lang w:eastAsia="es-ES"/>
        </w:rPr>
        <w:t>, en cada una de estas modalidades contractuales, respecto de las personas trabajadoras afectadas por estas.</w:t>
      </w:r>
    </w:p>
    <w:p w14:paraId="2C87885B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5E86EE8E" w14:textId="54D4C91A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  <w:r w:rsidRPr="000E5AC0">
        <w:rPr>
          <w:rFonts w:ascii="Comic Sans MS" w:eastAsia="Times New Roman" w:hAnsi="Comic Sans MS" w:cs="Times New Roman"/>
          <w:color w:val="F5682D"/>
          <w:sz w:val="28"/>
          <w:szCs w:val="28"/>
          <w:lang w:eastAsia="es-ES"/>
        </w:rPr>
        <w:t>Horas extraordinarias y nuevas externalizaciones de la actividad durante la aplicación de los ERTE</w:t>
      </w:r>
    </w:p>
    <w:p w14:paraId="797AA61C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714368EB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Seguimos con la prohibición para las empresas que estén inmersas en ERTES tanto de FM como causas ETOP, de realización de horas extraordinarias de sus trabajadores, y proceder a realizar nuevas externalizaciones de la actividad, así como la prohibición de concertar nuevas contrataciones de personal, sean directas o indirectas.</w:t>
      </w:r>
    </w:p>
    <w:p w14:paraId="421CFD2D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6D298049" w14:textId="06B43008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b/>
          <w:bCs/>
          <w:color w:val="808080"/>
          <w:sz w:val="28"/>
          <w:szCs w:val="28"/>
          <w:bdr w:val="none" w:sz="0" w:space="0" w:color="auto" w:frame="1"/>
          <w:lang w:eastAsia="es-ES"/>
        </w:rPr>
        <w:t>Estas prohibiciones podrán ser exceptuadas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 xml:space="preserve"> en el supuesto en que las personas reguladas y que prestan servicios en el centro de trabajo afectado por las nuevas contrataciones, directas o indirectas, o externalizaciones, no puedan, por formación, capacitación u otras razones objetivas y justificadas, desarrollar las funciones encomendadas a aquellas, previa información al respecto por parte de la 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empresa a</w:t>
      </w: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 xml:space="preserve"> la representación legal de las personas trabajadoras.</w:t>
      </w:r>
    </w:p>
    <w:p w14:paraId="6C2B61A9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 </w:t>
      </w:r>
    </w:p>
    <w:p w14:paraId="574E7506" w14:textId="77777777" w:rsidR="000E5AC0" w:rsidRPr="000E5AC0" w:rsidRDefault="000E5AC0" w:rsidP="000E5AC0">
      <w:pPr>
        <w:shd w:val="clear" w:color="auto" w:fill="FFFFFF"/>
        <w:spacing w:after="0" w:line="330" w:lineRule="atLeast"/>
        <w:jc w:val="both"/>
        <w:textAlignment w:val="baseline"/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</w:pPr>
      <w:r w:rsidRPr="000E5AC0">
        <w:rPr>
          <w:rFonts w:ascii="Comic Sans MS" w:eastAsia="Times New Roman" w:hAnsi="Comic Sans MS" w:cs="Arial"/>
          <w:color w:val="808080"/>
          <w:sz w:val="28"/>
          <w:szCs w:val="28"/>
          <w:lang w:eastAsia="es-ES"/>
        </w:rPr>
        <w:t>En el caso de que se realicen estas acciones prohibidas, podrán constituir infracciones de la empresa afectada, en virtud de expediente incoado al efecto por la Inspección de Trabajo y Seguridad Social.</w:t>
      </w:r>
    </w:p>
    <w:p w14:paraId="1024D59B" w14:textId="77777777" w:rsidR="000E5AC0" w:rsidRDefault="000E5AC0" w:rsidP="000E5AC0">
      <w:pPr>
        <w:jc w:val="both"/>
      </w:pPr>
    </w:p>
    <w:sectPr w:rsidR="000E5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C0"/>
    <w:rsid w:val="000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8BD8"/>
  <w15:chartTrackingRefBased/>
  <w15:docId w15:val="{29485687-4683-4AEC-893C-A8083EF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2020-3824" TargetMode="External"/><Relationship Id="rId5" Type="http://schemas.openxmlformats.org/officeDocument/2006/relationships/hyperlink" Target="https://www.boe.es/buscar/act.php?id=BOE-A-2020-6838" TargetMode="External"/><Relationship Id="rId4" Type="http://schemas.openxmlformats.org/officeDocument/2006/relationships/hyperlink" Target="https://www.boe.es/buscar/act.php?id=BOE-A-2006-228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2020-10-23T08:04:00Z</dcterms:created>
  <dcterms:modified xsi:type="dcterms:W3CDTF">2020-10-23T08:14:00Z</dcterms:modified>
</cp:coreProperties>
</file>