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B95D" w14:textId="3A87BE23" w:rsidR="006128F5" w:rsidRDefault="006128F5" w:rsidP="006128F5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40"/>
          <w:szCs w:val="40"/>
          <w:u w:val="single"/>
          <w:lang w:eastAsia="es-ES"/>
        </w:rPr>
      </w:pPr>
      <w:r w:rsidRPr="006128F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br/>
      </w:r>
      <w:r w:rsidRPr="006128F5">
        <w:rPr>
          <w:rFonts w:ascii="Arial" w:eastAsia="Times New Roman" w:hAnsi="Arial" w:cs="Arial"/>
          <w:caps/>
          <w:color w:val="000000"/>
          <w:sz w:val="40"/>
          <w:szCs w:val="40"/>
          <w:u w:val="single"/>
          <w:lang w:eastAsia="es-ES"/>
        </w:rPr>
        <w:t>Nuevas ayudas para autónomos a partir de febrero</w:t>
      </w:r>
      <w:r w:rsidRPr="006128F5">
        <w:rPr>
          <w:rFonts w:ascii="Arial" w:eastAsia="Times New Roman" w:hAnsi="Arial" w:cs="Arial"/>
          <w:caps/>
          <w:color w:val="000000"/>
          <w:sz w:val="40"/>
          <w:szCs w:val="40"/>
          <w:u w:val="single"/>
          <w:lang w:eastAsia="es-ES"/>
        </w:rPr>
        <w:t xml:space="preserve"> 2021</w:t>
      </w:r>
    </w:p>
    <w:p w14:paraId="04962A8C" w14:textId="77777777" w:rsidR="006128F5" w:rsidRPr="006128F5" w:rsidRDefault="006128F5" w:rsidP="006128F5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40"/>
          <w:szCs w:val="40"/>
          <w:u w:val="single"/>
          <w:lang w:eastAsia="es-ES"/>
        </w:rPr>
      </w:pPr>
    </w:p>
    <w:p w14:paraId="74F7492E" w14:textId="759043D8" w:rsidR="006128F5" w:rsidRPr="006128F5" w:rsidRDefault="006128F5" w:rsidP="00612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R</w:t>
      </w:r>
      <w:r w:rsidRPr="006128F5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equisitos para solicitarlas</w:t>
      </w:r>
      <w:r w:rsidRPr="006128F5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:</w:t>
      </w:r>
    </w:p>
    <w:p w14:paraId="779D87B0" w14:textId="1D2A2260" w:rsidR="006128F5" w:rsidRPr="006128F5" w:rsidRDefault="006128F5" w:rsidP="00612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FFFFFF"/>
          <w:sz w:val="28"/>
          <w:szCs w:val="28"/>
          <w:lang w:eastAsia="es-ES"/>
        </w:rPr>
        <w:t>a</w:t>
      </w:r>
    </w:p>
    <w:p w14:paraId="716B745A" w14:textId="3DCFC5F8" w:rsid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El Ejecutivo ha aprobado este martes en el Consejo de Ministros la prórroga de varias medidas que han resultado clave para paliar, en cierta forma, los efectos de la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 crisis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 generada por la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pandemia. 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A la prórroga de lo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s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 xml:space="preserve"> ERTE y el </w:t>
      </w:r>
      <w:r w:rsidRPr="006128F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  <w:t>escudo social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 -por el que se extenderán de forma automática los contratos de alquiler y la moratoria de las hipote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c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as- se suma también una batería de importantes cambios </w:t>
      </w:r>
      <w:r w:rsidRPr="006128F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"/>
        </w:rPr>
        <w:t>en las medidas que ya estaban vigentes para los autónomos 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que han visto su trabajo afectado por la Covid-19. </w:t>
      </w:r>
    </w:p>
    <w:p w14:paraId="66EA8E43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</w:pPr>
    </w:p>
    <w:p w14:paraId="50FBE082" w14:textId="5330E2D0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Todo esto después de que el Gobierno llegase a un acuerdo con las tres organizaciones de 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autó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n</w:t>
      </w:r>
      <w:r w:rsidRPr="006128F5">
        <w:rPr>
          <w:rFonts w:ascii="Arial" w:eastAsia="Times New Roman" w:hAnsi="Arial" w:cs="Arial"/>
          <w:color w:val="000000" w:themeColor="text1"/>
          <w:sz w:val="28"/>
          <w:szCs w:val="28"/>
          <w:lang w:eastAsia="es-ES"/>
        </w:rPr>
        <w:t>omos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 más representativas a nivel nacional: la asociación de trabajadores autónomos -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ATA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-, la unión de asociaciones de trabajadores autónomos y emprendedores -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UATAE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- y la unión de profesionales y trabajadores autónomos -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UPTA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-. Esas modificaciones que comentábamos incidirán en las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cuatro ayudas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que ya estaban disponibles para este colectivo.</w:t>
      </w:r>
    </w:p>
    <w:p w14:paraId="69E0AFE5" w14:textId="77777777" w:rsidR="006128F5" w:rsidRPr="006128F5" w:rsidRDefault="006128F5" w:rsidP="006128F5">
      <w:pPr>
        <w:numPr>
          <w:ilvl w:val="0"/>
          <w:numId w:val="1"/>
        </w:numPr>
        <w:spacing w:after="0" w:line="375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Prestación por suspensión de actividad: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cierre por decisión administrativa, beneficio económico mínimo 760 euros. </w:t>
      </w:r>
    </w:p>
    <w:p w14:paraId="6BC8C7C5" w14:textId="77777777" w:rsidR="006128F5" w:rsidRPr="006128F5" w:rsidRDefault="006128F5" w:rsidP="006128F5">
      <w:pPr>
        <w:numPr>
          <w:ilvl w:val="0"/>
          <w:numId w:val="1"/>
        </w:numPr>
        <w:spacing w:after="0" w:line="375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Prestación compatible con actividad para autónomos cuya actividad no se ha recuperado o empeora: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en función de la base de cotización</w:t>
      </w:r>
    </w:p>
    <w:p w14:paraId="10A4B9C5" w14:textId="77777777" w:rsidR="006128F5" w:rsidRPr="006128F5" w:rsidRDefault="006128F5" w:rsidP="006128F5">
      <w:pPr>
        <w:numPr>
          <w:ilvl w:val="0"/>
          <w:numId w:val="1"/>
        </w:numPr>
        <w:spacing w:after="0" w:line="375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Prestación extraordinaria por bajos ingresos para quienes no puedan acceder a las anteriores: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mínimo 760 euros siempre y cuando los ingresos sean inferiores al SMI en el primer semestre de 2021, entre otros requisitos.</w:t>
      </w:r>
    </w:p>
    <w:p w14:paraId="44D2F97F" w14:textId="77777777" w:rsidR="006128F5" w:rsidRPr="006128F5" w:rsidRDefault="006128F5" w:rsidP="006128F5">
      <w:pPr>
        <w:numPr>
          <w:ilvl w:val="0"/>
          <w:numId w:val="1"/>
        </w:numPr>
        <w:spacing w:after="0" w:line="375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Prestación para trabajadores de temporada: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mínimo 660 euros.</w:t>
      </w:r>
    </w:p>
    <w:p w14:paraId="1A776EF2" w14:textId="324CBBF2" w:rsidR="006128F5" w:rsidRPr="006128F5" w:rsidRDefault="006128F5" w:rsidP="006128F5">
      <w:pPr>
        <w:numPr>
          <w:ilvl w:val="0"/>
          <w:numId w:val="1"/>
        </w:numPr>
        <w:spacing w:after="0" w:line="375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 </w:t>
      </w:r>
    </w:p>
    <w:p w14:paraId="72E7EC1D" w14:textId="77777777" w:rsidR="006128F5" w:rsidRPr="006128F5" w:rsidRDefault="006128F5" w:rsidP="006128F5">
      <w:pPr>
        <w:spacing w:after="150" w:line="420" w:lineRule="atLeast"/>
        <w:jc w:val="both"/>
        <w:outlineLvl w:val="1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Ayuda compatible con la actividad</w:t>
      </w:r>
    </w:p>
    <w:p w14:paraId="465A0933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Esta es una de las medidas que se puso en marcha en julio y que ahora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se prorrogara hasta el 31 de mayo.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Va dirigida para todos aquellos trabajadores que no han podido recuperar sus ingresos o que, incluso, su situación haya empeorado en los últimos meses. </w:t>
      </w:r>
    </w:p>
    <w:p w14:paraId="071FBC54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Lo que se modifica en esta nueva prórroga es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el requisito para acceder a ella.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Anteriormente, la podían solicitar aquellos cuya facturación en el cuarto trimestre hubiese bajado un 75% con respecto al mismo periodo de 2019. Ahora, pueden acceder a esta prestación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aquellos trabajadores cuya facturación en el primer semestre de 2021 caiga un 50%,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con respecto al segundo semestre de 2019. </w:t>
      </w:r>
    </w:p>
    <w:p w14:paraId="67888AFA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Por otro lado, para beneficiarse de esta ayuda ya no es necesario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haberla recibido durante marzo y junio de 2020. </w:t>
      </w:r>
    </w:p>
    <w:p w14:paraId="7C4875F4" w14:textId="6CBA5B05" w:rsidR="006128F5" w:rsidRPr="006128F5" w:rsidRDefault="006128F5" w:rsidP="00612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48E8BE8" w14:textId="77777777" w:rsidR="006128F5" w:rsidRPr="006128F5" w:rsidRDefault="006128F5" w:rsidP="006128F5">
      <w:pPr>
        <w:spacing w:after="150" w:line="420" w:lineRule="atLeast"/>
        <w:jc w:val="both"/>
        <w:outlineLvl w:val="1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Ayuda por suspensión de actividad</w:t>
      </w:r>
    </w:p>
    <w:p w14:paraId="5B9A0991" w14:textId="0A0406C2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Pueden acceder a esta ayuda aquellos que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hayan tenido que cerrar sus negocio</w:t>
      </w:r>
      <w:r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s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 xml:space="preserve"> por las medidas decretadas.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La cuantía será del 50% de la base mínima de cotización. Alrededor de 760 euros o de 950 euros, un 70%, si la familia es numerosa y esos ingresos son los únicos que entran en el hogar.</w:t>
      </w:r>
    </w:p>
    <w:p w14:paraId="3F6DD8B1" w14:textId="4442BF82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Es indispensable que el solicitante haya estado dado de alta los 30 días naturales anteriores a la solicitud y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durante lo que duren las medidas que paralizan su actividad.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El beneficiario de esta ayuda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quedará exonerado de pagar las cuotas a la Seguridad Social,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durante un tiempo que sí le contará como cotizado. </w:t>
      </w:r>
    </w:p>
    <w:p w14:paraId="4FB9BF42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</w:p>
    <w:p w14:paraId="741ED00B" w14:textId="77777777" w:rsidR="006128F5" w:rsidRPr="006128F5" w:rsidRDefault="006128F5" w:rsidP="006128F5">
      <w:pPr>
        <w:spacing w:after="150" w:line="420" w:lineRule="atLeast"/>
        <w:jc w:val="both"/>
        <w:outlineLvl w:val="1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Ayuda extraordinaria por bajos ingresos </w:t>
      </w:r>
    </w:p>
    <w:p w14:paraId="5D203CB7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Esta fue una de las novedades que se incluyó en el anterior decreto-ley y que, como las anteriores, se prorrogará hasta el 31 de mayo. Está destinada 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aquellos trabajadores por cuenta propia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 que no cumpliesen las condiciones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para acceder a las ayudas anteriores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, como por ejemplo tener cotizados los últimos doce meses o tener una tarifa plana.</w:t>
      </w:r>
    </w:p>
    <w:p w14:paraId="38C62919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La cuantía será del 50% de la base mínima de cotización.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 Alrededor de 760 euros. Para acceder a esta prestación, los ingresos del trabajador en el primer semestre no deben superar 1,2 veces el SMI, fijado en 950 euros. </w:t>
      </w:r>
    </w:p>
    <w:p w14:paraId="25237E26" w14:textId="23EB296F" w:rsidR="006128F5" w:rsidRPr="006128F5" w:rsidRDefault="006128F5" w:rsidP="006128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0C90E4D9" w14:textId="77777777" w:rsidR="006128F5" w:rsidRPr="006128F5" w:rsidRDefault="006128F5" w:rsidP="006128F5">
      <w:pPr>
        <w:spacing w:after="150" w:line="420" w:lineRule="atLeast"/>
        <w:jc w:val="both"/>
        <w:outlineLvl w:val="1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Autónomos de temporada</w:t>
      </w:r>
    </w:p>
    <w:p w14:paraId="2DA801D2" w14:textId="45F3917E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Por último, se mantiene la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 xml:space="preserve">prestación para los autónomos de 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temporada,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 xml:space="preserve"> aunque con un cambio: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anteriormente, se pedía que el trabajador hubiera estado de alta, al menos, tres meses durante 2018 y 2019; ahora el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requisito es de dos meses. </w:t>
      </w:r>
    </w:p>
    <w:p w14:paraId="3B3C2F66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</w:p>
    <w:p w14:paraId="215A967B" w14:textId="77777777" w:rsidR="006128F5" w:rsidRPr="006128F5" w:rsidRDefault="006128F5" w:rsidP="006128F5">
      <w:pPr>
        <w:spacing w:after="150" w:line="420" w:lineRule="atLeast"/>
        <w:jc w:val="both"/>
        <w:outlineLvl w:val="1"/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Se suspende la subida de cuotas</w:t>
      </w:r>
    </w:p>
    <w:p w14:paraId="2B4BA136" w14:textId="77777777" w:rsidR="006128F5" w:rsidRPr="006128F5" w:rsidRDefault="006128F5" w:rsidP="006128F5">
      <w:pPr>
        <w:spacing w:after="0" w:line="390" w:lineRule="atLeast"/>
        <w:jc w:val="both"/>
        <w:rPr>
          <w:rFonts w:ascii="Arial" w:eastAsia="Times New Roman" w:hAnsi="Arial" w:cs="Arial"/>
          <w:color w:val="515151"/>
          <w:sz w:val="28"/>
          <w:szCs w:val="28"/>
          <w:lang w:eastAsia="es-ES"/>
        </w:rPr>
      </w:pP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Por último, el Gobierno ha decidido suspender la </w:t>
      </w:r>
      <w:r w:rsidRPr="006128F5">
        <w:rPr>
          <w:rFonts w:ascii="Arial" w:eastAsia="Times New Roman" w:hAnsi="Arial" w:cs="Arial"/>
          <w:b/>
          <w:bCs/>
          <w:color w:val="515151"/>
          <w:sz w:val="28"/>
          <w:szCs w:val="28"/>
          <w:lang w:eastAsia="es-ES"/>
        </w:rPr>
        <w:t>subida de cuotas prevista para 2021;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medida que, por lo pronto, quedará en </w:t>
      </w:r>
      <w:r w:rsidRPr="006128F5">
        <w:rPr>
          <w:rFonts w:ascii="Arial" w:eastAsia="Times New Roman" w:hAnsi="Arial" w:cs="Arial"/>
          <w:i/>
          <w:iCs/>
          <w:color w:val="515151"/>
          <w:sz w:val="28"/>
          <w:szCs w:val="28"/>
          <w:lang w:eastAsia="es-ES"/>
        </w:rPr>
        <w:t>stand by </w:t>
      </w:r>
      <w:r w:rsidRPr="006128F5">
        <w:rPr>
          <w:rFonts w:ascii="Arial" w:eastAsia="Times New Roman" w:hAnsi="Arial" w:cs="Arial"/>
          <w:color w:val="515151"/>
          <w:sz w:val="28"/>
          <w:szCs w:val="28"/>
          <w:lang w:eastAsia="es-ES"/>
        </w:rPr>
        <w:t>hasta, al menos, el 21 de enero. </w:t>
      </w:r>
    </w:p>
    <w:p w14:paraId="25C0BB45" w14:textId="77777777" w:rsidR="006128F5" w:rsidRPr="006128F5" w:rsidRDefault="006128F5" w:rsidP="006128F5">
      <w:pPr>
        <w:jc w:val="both"/>
        <w:rPr>
          <w:rFonts w:ascii="Arial" w:hAnsi="Arial" w:cs="Arial"/>
          <w:sz w:val="28"/>
          <w:szCs w:val="28"/>
        </w:rPr>
      </w:pPr>
    </w:p>
    <w:sectPr w:rsidR="006128F5" w:rsidRPr="0061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5CA0"/>
    <w:multiLevelType w:val="multilevel"/>
    <w:tmpl w:val="581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678B7"/>
    <w:multiLevelType w:val="multilevel"/>
    <w:tmpl w:val="A8E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05D3C"/>
    <w:multiLevelType w:val="multilevel"/>
    <w:tmpl w:val="471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7D25"/>
    <w:multiLevelType w:val="multilevel"/>
    <w:tmpl w:val="800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259E8"/>
    <w:multiLevelType w:val="multilevel"/>
    <w:tmpl w:val="9FC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55A41"/>
    <w:multiLevelType w:val="multilevel"/>
    <w:tmpl w:val="5CC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D2F43"/>
    <w:multiLevelType w:val="multilevel"/>
    <w:tmpl w:val="AC9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F5"/>
    <w:rsid w:val="006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14D"/>
  <w15:chartTrackingRefBased/>
  <w15:docId w15:val="{F109FF2C-3537-4FFC-A800-43A59E4B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0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7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48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2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270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7713">
                          <w:marLeft w:val="-375"/>
                          <w:marRight w:val="0"/>
                          <w:marTop w:val="0"/>
                          <w:marBottom w:val="300"/>
                          <w:divBdr>
                            <w:top w:val="single" w:sz="6" w:space="15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39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4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4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5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51515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13854">
                                              <w:marLeft w:val="0"/>
                                              <w:marRight w:val="150"/>
                                              <w:marTop w:val="12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558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3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571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143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943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1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721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83797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1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49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741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689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302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941312">
          <w:marLeft w:val="0"/>
          <w:marRight w:val="0"/>
          <w:marTop w:val="0"/>
          <w:marBottom w:val="0"/>
          <w:divBdr>
            <w:top w:val="single" w:sz="6" w:space="31" w:color="51515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81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0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8593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2</cp:revision>
  <dcterms:created xsi:type="dcterms:W3CDTF">2021-02-01T13:14:00Z</dcterms:created>
  <dcterms:modified xsi:type="dcterms:W3CDTF">2021-02-01T13:23:00Z</dcterms:modified>
</cp:coreProperties>
</file>