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164" w:rsidRPr="00AB2164" w:rsidRDefault="00AB2164" w:rsidP="00AB2164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</w:pPr>
      <w:r w:rsidRPr="00AB2164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s-ES"/>
        </w:rPr>
        <w:t>ASÍ SON LAS BASES DE COTIZACIÓN PARA 2019</w:t>
      </w:r>
    </w:p>
    <w:p w:rsidR="0001666A" w:rsidRDefault="0001666A" w:rsidP="00AB2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</w:p>
    <w:p w:rsidR="00AB2164" w:rsidRPr="00AB2164" w:rsidRDefault="00AB2164" w:rsidP="00AB2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Bases y Tipos de Cotización en 2019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AB2164" w:rsidRDefault="00AB2164" w:rsidP="00AB21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1666A" w:rsidRDefault="0001666A" w:rsidP="00AB21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noProof/>
        </w:rPr>
        <w:drawing>
          <wp:inline distT="0" distB="0" distL="0" distR="0" wp14:anchorId="551B2BDC" wp14:editId="38842D5F">
            <wp:extent cx="10361594" cy="5831040"/>
            <wp:effectExtent l="0" t="0" r="1905" b="0"/>
            <wp:docPr id="2" name="Imagen 2" descr="https://d500.epimg.net/cincodias/imagenes/2019/01/14/economia/1547467104_398112_1547468975_noticia_normal_recor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500.epimg.net/cincodias/imagenes/2019/01/14/economia/1547467104_398112_1547468975_noticia_normal_recort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379" cy="583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6A" w:rsidRPr="00AB2164" w:rsidRDefault="0001666A" w:rsidP="00AB21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B2164" w:rsidRPr="00AB2164" w:rsidRDefault="00AB2164" w:rsidP="00AB21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proyecto de Presupuestos para 2019 recoge que </w:t>
      </w: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la base máxima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cotización se incrementará un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7%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hasta los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4.070,1 euros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mensuales, frente a los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3.803,7 euros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2018, desde el día primero al mes siguiente en el que entren en vigor las cuentas de 2019.</w:t>
      </w:r>
    </w:p>
    <w:p w:rsidR="00AB2164" w:rsidRDefault="00AB2164" w:rsidP="00AB21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Por su parte, la </w:t>
      </w: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base mínima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cotización en el Régimen General aumenta un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22,3%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en línea con el alza del salario mínimo.</w:t>
      </w:r>
    </w:p>
    <w:p w:rsidR="0001666A" w:rsidRPr="00AB2164" w:rsidRDefault="0001666A" w:rsidP="00AB21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B2164" w:rsidRPr="00AB2164" w:rsidRDefault="00AB2164" w:rsidP="00AB21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RÉGIMEN ESPECIAL DE TRABAJADORES AUTÓNOMOS (RETA)</w:t>
      </w:r>
    </w:p>
    <w:p w:rsidR="00AB2164" w:rsidRPr="00AB2164" w:rsidRDefault="00AB2164" w:rsidP="00AB21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el </w:t>
      </w: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Régimen Especial de Trabajadores Autónomos (RETA)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la </w:t>
      </w: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base máxima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cotización también se incrementará hasta los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4.070,1 euros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mensuales, y la </w:t>
      </w: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base mínima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subirá un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1,25%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hasta los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944,4 euros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Además, el </w:t>
      </w: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tipo mínimo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cotización general se ha incrementado </w:t>
      </w: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desde el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29,80%</w:t>
      </w: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 al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30%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para hacer frente a nuevas prestaciones. Este nuevo tipo, además de la incapacidad temporal incluye las cotizaciones por cese de actividad y formación.</w:t>
      </w:r>
    </w:p>
    <w:p w:rsidR="00AB2164" w:rsidRDefault="00AB2164" w:rsidP="00AB2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Régimen de Trabajadores Autónomos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-&gt;</w:t>
      </w:r>
    </w:p>
    <w:p w:rsidR="0001666A" w:rsidRDefault="0001666A" w:rsidP="00AB2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01666A" w:rsidRDefault="0001666A" w:rsidP="00AB2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noProof/>
        </w:rPr>
        <w:drawing>
          <wp:inline distT="0" distB="0" distL="0" distR="0" wp14:anchorId="7FE94821" wp14:editId="1A545AAA">
            <wp:extent cx="10506075" cy="5092230"/>
            <wp:effectExtent l="0" t="0" r="0" b="0"/>
            <wp:docPr id="4" name="Imagen 4" descr="https://d500.epimg.net/cincodias/imagenes/2019/01/14/economia/1547467104_398112_1547470610_sumario_normal_recor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500.epimg.net/cincodias/imagenes/2019/01/14/economia/1547467104_398112_1547470610_sumario_normal_recort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349" cy="509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6A" w:rsidRPr="00AB2164" w:rsidRDefault="0001666A" w:rsidP="00AB2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B2164" w:rsidRPr="00AB2164" w:rsidRDefault="00AB2164" w:rsidP="00AB21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CONTRATOS DE CORTA DURACIÓN</w:t>
      </w:r>
    </w:p>
    <w:p w:rsidR="00AB2164" w:rsidRPr="00AB2164" w:rsidRDefault="00AB2164" w:rsidP="00AB21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cuanto a los </w:t>
      </w: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contratos de corta duración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(igual o inferior a 5 días) el recargo de la cotización empresarial pasará </w:t>
      </w: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del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36%</w:t>
      </w: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 al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40%</w:t>
      </w: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.</w:t>
      </w:r>
    </w:p>
    <w:p w:rsidR="0001666A" w:rsidRDefault="0001666A" w:rsidP="00AB2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</w:p>
    <w:p w:rsidR="00AB2164" w:rsidRDefault="00AB2164" w:rsidP="00AB2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Contrato de Trabajo a Tiempo Parcial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01666A" w:rsidRDefault="0001666A" w:rsidP="00AB2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1666A" w:rsidRDefault="0001666A" w:rsidP="00AB2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5196EE2A" wp14:editId="17A822BD">
            <wp:extent cx="10500404" cy="5041265"/>
            <wp:effectExtent l="0" t="0" r="0" b="6985"/>
            <wp:docPr id="6" name="Imagen 6" descr="https://d500.epimg.net/cincodias/imagenes/2019/01/14/economia/1547467104_398112_1547470689_sumario_normal_recor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500.epimg.net/cincodias/imagenes/2019/01/14/economia/1547467104_398112_1547470689_sumario_normal_recort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68" cy="50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6A" w:rsidRPr="00AB2164" w:rsidRDefault="0001666A" w:rsidP="00AB2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B2164" w:rsidRPr="00AB2164" w:rsidRDefault="00AB2164" w:rsidP="00AB21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RÉGIMEN ESPECIAL DE EMPLEADAS DE HOGAR</w:t>
      </w:r>
    </w:p>
    <w:p w:rsidR="00AB2164" w:rsidRPr="00AB2164" w:rsidRDefault="00AB2164" w:rsidP="00AB21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 establecen bases de cotización en función de </w:t>
      </w: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10 tramos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retribuciones y el último tramo se deja para el salario real percibido.</w:t>
      </w:r>
    </w:p>
    <w:p w:rsidR="00AB2164" w:rsidRDefault="0001666A" w:rsidP="00AB2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S</w:t>
      </w:r>
      <w:r w:rsidR="00AB2164"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istema Especial para Empleadas de Hogar</w:t>
      </w:r>
      <w:r w:rsidR="00AB2164"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01666A" w:rsidRDefault="0001666A" w:rsidP="00AB2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01666A" w:rsidRPr="00AB2164" w:rsidRDefault="0001666A" w:rsidP="00AB2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noProof/>
        </w:rPr>
        <w:drawing>
          <wp:inline distT="0" distB="0" distL="0" distR="0" wp14:anchorId="123E102D" wp14:editId="77F8665E">
            <wp:extent cx="10534416" cy="8067427"/>
            <wp:effectExtent l="0" t="0" r="635" b="0"/>
            <wp:docPr id="8" name="Imagen 8" descr="https://d500.epimg.net/cincodias/imagenes/2019/01/14/economia/1547467104_398112_1547470374_sumario_normal_recor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500.epimg.net/cincodias/imagenes/2019/01/14/economia/1547467104_398112_1547470374_sumario_normal_recort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110" cy="807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6A" w:rsidRDefault="0001666A" w:rsidP="00AB2164">
      <w:pPr>
        <w:spacing w:after="1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</w:pPr>
    </w:p>
    <w:p w:rsidR="00AB2164" w:rsidRPr="00AB2164" w:rsidRDefault="00AB2164" w:rsidP="00AB21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INGRESOS POR COTIZACIONES</w:t>
      </w:r>
    </w:p>
    <w:p w:rsidR="00AB2164" w:rsidRPr="00AB2164" w:rsidRDefault="00AB2164" w:rsidP="00AB216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Estado prevé recaudar ingresos por cotizaciones, según el proyecto de Presupuestos, de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123.584 millones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euros, un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7,5%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más que en 2018. Entre los factores que favorecen este incremento está:</w:t>
      </w:r>
    </w:p>
    <w:p w:rsidR="00AB2164" w:rsidRPr="00AB2164" w:rsidRDefault="00AB2164" w:rsidP="00AB216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la subida del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22,3%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SMI, con la consiguiente alza de la base mínima de cotización en ese mismo porcentaje</w:t>
      </w:r>
    </w:p>
    <w:p w:rsidR="00AB2164" w:rsidRPr="00AB2164" w:rsidRDefault="00AB2164" w:rsidP="00AB216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la subida del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7%</w:t>
      </w: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las bases máximas</w:t>
      </w:r>
    </w:p>
    <w:p w:rsidR="00AB2164" w:rsidRPr="00AB2164" w:rsidRDefault="00AB2164" w:rsidP="00AB216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el aumento del tipo de cotización de los autónomos hasta el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30%</w:t>
      </w:r>
    </w:p>
    <w:p w:rsidR="00AB2164" w:rsidRPr="00AB2164" w:rsidRDefault="00AB2164" w:rsidP="00AB216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la ampliación del subsidio de desempleo a mayores de 52 años</w:t>
      </w:r>
    </w:p>
    <w:p w:rsidR="00AB2164" w:rsidRPr="00AB2164" w:rsidRDefault="00AB2164" w:rsidP="00AB216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el incremento de la base de cotización de los subsidios por desempleo </w:t>
      </w: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del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100%</w:t>
      </w:r>
      <w:r w:rsidRPr="00AB2164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 al </w:t>
      </w:r>
      <w:r w:rsidRPr="00AB21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125%</w:t>
      </w:r>
    </w:p>
    <w:p w:rsidR="00AB2164" w:rsidRPr="00AB2164" w:rsidRDefault="00AB2164" w:rsidP="00AB216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2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la financiación por parte del Estado de las cuotas sociales para cuidadores sociales.</w:t>
      </w:r>
    </w:p>
    <w:p w:rsidR="003D00EE" w:rsidRDefault="003D00EE">
      <w:bookmarkStart w:id="0" w:name="_GoBack"/>
      <w:bookmarkEnd w:id="0"/>
    </w:p>
    <w:sectPr w:rsidR="003D00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64"/>
    <w:rsid w:val="0001666A"/>
    <w:rsid w:val="003D00EE"/>
    <w:rsid w:val="00AB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3D44"/>
  <w15:chartTrackingRefBased/>
  <w15:docId w15:val="{8C2E211D-1B02-4954-9582-853ED4C4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6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666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6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2</cp:revision>
  <dcterms:created xsi:type="dcterms:W3CDTF">2019-02-02T10:04:00Z</dcterms:created>
  <dcterms:modified xsi:type="dcterms:W3CDTF">2019-02-02T10:04:00Z</dcterms:modified>
</cp:coreProperties>
</file>